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>O B E C   R Y B N I Š T Ě</w:t>
      </w:r>
    </w:p>
    <w:p w:rsidR="00B15EF7" w:rsidRPr="006839A2" w:rsidRDefault="00B15EF7" w:rsidP="006839A2">
      <w:pPr>
        <w:jc w:val="center"/>
        <w:rPr>
          <w:sz w:val="24"/>
        </w:rPr>
      </w:pPr>
    </w:p>
    <w:p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>OBCE RYBNIŠTĚ</w:t>
      </w:r>
    </w:p>
    <w:p w:rsidR="00B15EF7" w:rsidRPr="006839A2" w:rsidRDefault="00B15EF7" w:rsidP="006839A2">
      <w:pPr>
        <w:jc w:val="center"/>
        <w:rPr>
          <w:b/>
          <w:bCs/>
          <w:sz w:val="22"/>
        </w:rPr>
      </w:pPr>
    </w:p>
    <w:p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F713F" w:rsidRPr="00B47329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47329">
        <w:rPr>
          <w:rFonts w:cs="Times New Roman"/>
          <w:b/>
          <w:sz w:val="28"/>
          <w:szCs w:val="28"/>
        </w:rPr>
        <w:t>p</w:t>
      </w:r>
      <w:r w:rsidR="001F713F" w:rsidRPr="00B47329">
        <w:rPr>
          <w:rFonts w:cs="Times New Roman"/>
          <w:b/>
          <w:sz w:val="28"/>
          <w:szCs w:val="28"/>
        </w:rPr>
        <w:t>ožární řád</w:t>
      </w:r>
    </w:p>
    <w:p w:rsidR="00D363A0" w:rsidRPr="00B47329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:rsidR="00FC17A0" w:rsidRPr="00B47329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B47329">
        <w:rPr>
          <w:rFonts w:ascii="Times New Roman" w:hAnsi="Times New Roman" w:cs="Times New Roman"/>
          <w:i/>
          <w:szCs w:val="24"/>
        </w:rPr>
        <w:t xml:space="preserve">Zastupitelstvo </w:t>
      </w:r>
      <w:r w:rsidR="00B43F6D">
        <w:rPr>
          <w:rFonts w:ascii="Times New Roman" w:hAnsi="Times New Roman" w:cs="Times New Roman"/>
          <w:i/>
          <w:szCs w:val="24"/>
        </w:rPr>
        <w:t>obce Rybniště</w:t>
      </w:r>
      <w:r w:rsidRPr="00B47329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266E46">
        <w:rPr>
          <w:rFonts w:ascii="Times New Roman" w:hAnsi="Times New Roman" w:cs="Times New Roman"/>
          <w:i/>
          <w:szCs w:val="24"/>
        </w:rPr>
        <w:t>29.3.</w:t>
      </w:r>
      <w:r w:rsidR="00B15EF7" w:rsidRPr="00B47329">
        <w:rPr>
          <w:rFonts w:ascii="Times New Roman" w:hAnsi="Times New Roman" w:cs="Times New Roman"/>
          <w:i/>
          <w:szCs w:val="24"/>
        </w:rPr>
        <w:t>2023</w:t>
      </w:r>
      <w:r w:rsidRPr="00B47329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B15EF7" w:rsidRPr="00B47329">
        <w:rPr>
          <w:rFonts w:ascii="Times New Roman" w:hAnsi="Times New Roman" w:cs="Times New Roman"/>
          <w:i/>
          <w:szCs w:val="24"/>
        </w:rPr>
        <w:t> </w:t>
      </w:r>
      <w:r w:rsidR="00266E46">
        <w:rPr>
          <w:rFonts w:ascii="Times New Roman" w:hAnsi="Times New Roman" w:cs="Times New Roman"/>
          <w:i/>
          <w:szCs w:val="24"/>
        </w:rPr>
        <w:t>40/23</w:t>
      </w:r>
      <w:r w:rsidR="00B15EF7" w:rsidRPr="00B47329">
        <w:rPr>
          <w:rFonts w:ascii="Times New Roman" w:hAnsi="Times New Roman" w:cs="Times New Roman"/>
          <w:i/>
          <w:szCs w:val="24"/>
        </w:rPr>
        <w:t xml:space="preserve"> </w:t>
      </w:r>
      <w:r w:rsidRPr="00B47329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:rsidR="00AB3A3D" w:rsidRPr="00B47329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1</w:t>
      </w:r>
    </w:p>
    <w:p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Úvodní ustanovení</w:t>
      </w:r>
    </w:p>
    <w:p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1F713F" w:rsidRPr="00B47329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47329">
        <w:rPr>
          <w:rFonts w:ascii="Times New Roman" w:hAnsi="Times New Roman" w:cs="Times New Roman"/>
          <w:szCs w:val="24"/>
        </w:rPr>
        <w:t>Tato vyhláška</w:t>
      </w:r>
      <w:r w:rsidR="001F713F" w:rsidRPr="00B47329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>
        <w:rPr>
          <w:rFonts w:ascii="Times New Roman" w:hAnsi="Times New Roman" w:cs="Times New Roman"/>
          <w:szCs w:val="24"/>
        </w:rPr>
        <w:t xml:space="preserve">v obci Rybniště </w:t>
      </w:r>
      <w:r w:rsidR="002B3C08" w:rsidRPr="00B47329">
        <w:rPr>
          <w:rFonts w:ascii="Times New Roman" w:hAnsi="Times New Roman" w:cs="Times New Roman"/>
          <w:szCs w:val="24"/>
        </w:rPr>
        <w:t>(dále jen „</w:t>
      </w:r>
      <w:r w:rsidR="00B43F6D">
        <w:rPr>
          <w:rFonts w:ascii="Times New Roman" w:hAnsi="Times New Roman" w:cs="Times New Roman"/>
          <w:szCs w:val="24"/>
        </w:rPr>
        <w:t>obec</w:t>
      </w:r>
      <w:r w:rsidR="002B3C08" w:rsidRPr="00B47329">
        <w:rPr>
          <w:rFonts w:ascii="Times New Roman" w:hAnsi="Times New Roman" w:cs="Times New Roman"/>
          <w:szCs w:val="24"/>
        </w:rPr>
        <w:t>“)</w:t>
      </w:r>
      <w:r w:rsidR="001F713F" w:rsidRPr="00B47329">
        <w:rPr>
          <w:rFonts w:ascii="Times New Roman" w:hAnsi="Times New Roman" w:cs="Times New Roman"/>
          <w:szCs w:val="24"/>
        </w:rPr>
        <w:t>.</w:t>
      </w:r>
    </w:p>
    <w:p w:rsidR="001F713F" w:rsidRPr="00B47329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2</w:t>
      </w:r>
    </w:p>
    <w:p w:rsidR="001F713F" w:rsidRPr="00B47329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B47329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>
        <w:rPr>
          <w:rFonts w:ascii="Times New Roman" w:hAnsi="Times New Roman" w:cs="Times New Roman"/>
          <w:b/>
          <w:szCs w:val="24"/>
        </w:rPr>
        <w:t>v obci</w:t>
      </w:r>
    </w:p>
    <w:p w:rsidR="004A72FD" w:rsidRPr="00B47329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:rsidR="00527D03" w:rsidRPr="00B47329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>
        <w:rPr>
          <w:rFonts w:ascii="Times New Roman" w:hAnsi="Times New Roman" w:cs="Times New Roman"/>
          <w:szCs w:val="24"/>
        </w:rPr>
        <w:t>obce</w:t>
      </w:r>
      <w:r w:rsidRPr="00B47329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>
        <w:rPr>
          <w:rFonts w:ascii="Times New Roman" w:hAnsi="Times New Roman" w:cs="Times New Roman"/>
          <w:szCs w:val="24"/>
        </w:rPr>
        <w:t>obce Rybniště</w:t>
      </w:r>
      <w:r w:rsidR="00B15EF7" w:rsidRPr="00B47329">
        <w:rPr>
          <w:rFonts w:ascii="Times New Roman" w:hAnsi="Times New Roman" w:cs="Times New Roman"/>
          <w:szCs w:val="24"/>
        </w:rPr>
        <w:t xml:space="preserve"> </w:t>
      </w:r>
      <w:r w:rsidRPr="00B47329">
        <w:rPr>
          <w:rFonts w:ascii="Times New Roman" w:hAnsi="Times New Roman" w:cs="Times New Roman"/>
          <w:szCs w:val="24"/>
        </w:rPr>
        <w:t>(dále jen „</w:t>
      </w:r>
      <w:r w:rsidR="00BA28E5" w:rsidRPr="00B47329">
        <w:rPr>
          <w:rFonts w:ascii="Times New Roman" w:hAnsi="Times New Roman" w:cs="Times New Roman"/>
          <w:szCs w:val="24"/>
        </w:rPr>
        <w:t>JSDH</w:t>
      </w:r>
      <w:r w:rsidR="00B43F6D">
        <w:rPr>
          <w:rFonts w:ascii="Times New Roman" w:hAnsi="Times New Roman" w:cs="Times New Roman"/>
          <w:szCs w:val="24"/>
        </w:rPr>
        <w:t>O</w:t>
      </w:r>
      <w:r w:rsidR="00BA28E5" w:rsidRPr="00B47329">
        <w:rPr>
          <w:rFonts w:ascii="Times New Roman" w:hAnsi="Times New Roman" w:cs="Times New Roman"/>
          <w:szCs w:val="24"/>
        </w:rPr>
        <w:t xml:space="preserve"> </w:t>
      </w:r>
      <w:r w:rsidR="00B43F6D">
        <w:rPr>
          <w:rFonts w:ascii="Times New Roman" w:hAnsi="Times New Roman" w:cs="Times New Roman"/>
          <w:szCs w:val="24"/>
        </w:rPr>
        <w:t>Rybniště</w:t>
      </w:r>
      <w:r w:rsidRPr="00B47329">
        <w:rPr>
          <w:rFonts w:ascii="Times New Roman" w:hAnsi="Times New Roman" w:cs="Times New Roman"/>
          <w:szCs w:val="24"/>
        </w:rPr>
        <w:t xml:space="preserve">“) podle čl. 5 </w:t>
      </w:r>
      <w:r w:rsidR="00FC17A0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>.</w:t>
      </w:r>
    </w:p>
    <w:p w:rsidR="001F713F" w:rsidRPr="00B47329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B47329">
        <w:rPr>
          <w:rFonts w:ascii="Times New Roman" w:hAnsi="Times New Roman" w:cs="Times New Roman"/>
          <w:szCs w:val="24"/>
        </w:rPr>
        <w:t>úkoluje</w:t>
      </w:r>
      <w:r w:rsidRPr="00B47329">
        <w:rPr>
          <w:rFonts w:ascii="Times New Roman" w:hAnsi="Times New Roman" w:cs="Times New Roman"/>
          <w:szCs w:val="24"/>
        </w:rPr>
        <w:t>:</w:t>
      </w:r>
    </w:p>
    <w:p w:rsidR="001F713F" w:rsidRPr="00B47329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zastupitelstvo obce</w:t>
      </w:r>
      <w:r w:rsidR="00ED1A92" w:rsidRPr="00B47329">
        <w:rPr>
          <w:rFonts w:ascii="Times New Roman" w:hAnsi="Times New Roman" w:cs="Times New Roman"/>
          <w:szCs w:val="24"/>
        </w:rPr>
        <w:t xml:space="preserve"> </w:t>
      </w:r>
      <w:r w:rsidR="001F713F" w:rsidRPr="00B47329">
        <w:rPr>
          <w:rFonts w:ascii="Times New Roman" w:hAnsi="Times New Roman" w:cs="Times New Roman"/>
          <w:szCs w:val="24"/>
        </w:rPr>
        <w:t xml:space="preserve">– projednáním </w:t>
      </w:r>
      <w:r w:rsidR="004C78D8" w:rsidRPr="00B47329">
        <w:rPr>
          <w:rFonts w:ascii="Times New Roman" w:hAnsi="Times New Roman" w:cs="Times New Roman"/>
          <w:szCs w:val="24"/>
        </w:rPr>
        <w:t xml:space="preserve">úrovně a </w:t>
      </w:r>
      <w:r w:rsidR="001F713F" w:rsidRPr="00B47329">
        <w:rPr>
          <w:rFonts w:ascii="Times New Roman" w:hAnsi="Times New Roman" w:cs="Times New Roman"/>
          <w:szCs w:val="24"/>
        </w:rPr>
        <w:t xml:space="preserve">stavu požární ochrany </w:t>
      </w:r>
      <w:r w:rsidR="007E1F5D">
        <w:rPr>
          <w:rFonts w:ascii="Times New Roman" w:hAnsi="Times New Roman" w:cs="Times New Roman"/>
          <w:szCs w:val="24"/>
        </w:rPr>
        <w:t>v obci</w:t>
      </w:r>
      <w:r w:rsidR="00CE79B1" w:rsidRPr="00B47329">
        <w:rPr>
          <w:rFonts w:ascii="Times New Roman" w:hAnsi="Times New Roman" w:cs="Times New Roman"/>
          <w:szCs w:val="24"/>
        </w:rPr>
        <w:t xml:space="preserve"> </w:t>
      </w:r>
      <w:r w:rsidR="001F713F" w:rsidRPr="00B47329">
        <w:rPr>
          <w:rFonts w:ascii="Times New Roman" w:hAnsi="Times New Roman" w:cs="Times New Roman"/>
          <w:szCs w:val="24"/>
        </w:rPr>
        <w:t xml:space="preserve">minimálně </w:t>
      </w:r>
      <w:r w:rsidR="000730B3" w:rsidRPr="00B47329">
        <w:rPr>
          <w:rFonts w:ascii="Times New Roman" w:hAnsi="Times New Roman" w:cs="Times New Roman"/>
          <w:szCs w:val="24"/>
        </w:rPr>
        <w:t xml:space="preserve">jedenkrát </w:t>
      </w:r>
      <w:r w:rsidR="00D627FE" w:rsidRPr="00B47329">
        <w:rPr>
          <w:rFonts w:ascii="Times New Roman" w:hAnsi="Times New Roman" w:cs="Times New Roman"/>
          <w:szCs w:val="24"/>
        </w:rPr>
        <w:t>za</w:t>
      </w:r>
      <w:r w:rsidR="00FF2485" w:rsidRPr="00B47329">
        <w:rPr>
          <w:rFonts w:ascii="Times New Roman" w:hAnsi="Times New Roman" w:cs="Times New Roman"/>
          <w:szCs w:val="24"/>
        </w:rPr>
        <w:t> </w:t>
      </w:r>
      <w:r w:rsidR="00851528" w:rsidRPr="00B47329">
        <w:rPr>
          <w:rFonts w:ascii="Times New Roman" w:hAnsi="Times New Roman" w:cs="Times New Roman"/>
          <w:szCs w:val="24"/>
        </w:rPr>
        <w:t>rok</w:t>
      </w:r>
      <w:r w:rsidR="001F713F" w:rsidRPr="00B47329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B47329">
        <w:rPr>
          <w:rFonts w:ascii="Times New Roman" w:hAnsi="Times New Roman" w:cs="Times New Roman"/>
          <w:szCs w:val="24"/>
        </w:rPr>
        <w:t>ajících vztah k požární ochraně,</w:t>
      </w:r>
    </w:p>
    <w:p w:rsidR="00102666" w:rsidRPr="00102666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starosta obce</w:t>
      </w:r>
      <w:r w:rsidR="00B15EF7" w:rsidRPr="00B47329">
        <w:rPr>
          <w:rFonts w:ascii="Times New Roman" w:hAnsi="Times New Roman" w:cs="Times New Roman"/>
          <w:szCs w:val="24"/>
        </w:rPr>
        <w:t xml:space="preserve"> </w:t>
      </w:r>
      <w:r w:rsidR="007335C2" w:rsidRPr="00B47329">
        <w:rPr>
          <w:rFonts w:ascii="Times New Roman" w:hAnsi="Times New Roman" w:cs="Times New Roman"/>
          <w:szCs w:val="24"/>
        </w:rPr>
        <w:t>–</w:t>
      </w:r>
      <w:r w:rsidR="007B7B89" w:rsidRPr="00B47329">
        <w:rPr>
          <w:rFonts w:ascii="Times New Roman" w:hAnsi="Times New Roman" w:cs="Times New Roman"/>
          <w:szCs w:val="24"/>
        </w:rPr>
        <w:t> </w:t>
      </w:r>
      <w:r w:rsidR="00DF23DF" w:rsidRPr="00B47329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>
        <w:rPr>
          <w:rFonts w:ascii="Times New Roman" w:hAnsi="Times New Roman" w:cs="Times New Roman"/>
          <w:szCs w:val="24"/>
        </w:rPr>
        <w:t>v obci</w:t>
      </w:r>
      <w:r w:rsidR="007E1F5D" w:rsidRPr="00B47329">
        <w:rPr>
          <w:rFonts w:ascii="Times New Roman" w:hAnsi="Times New Roman" w:cs="Times New Roman"/>
          <w:szCs w:val="24"/>
        </w:rPr>
        <w:t xml:space="preserve"> </w:t>
      </w:r>
      <w:r w:rsidR="00DF23DF" w:rsidRPr="00B47329">
        <w:rPr>
          <w:rFonts w:ascii="Times New Roman" w:eastAsia="Arial" w:hAnsi="Times New Roman" w:cs="Times New Roman"/>
          <w:szCs w:val="24"/>
        </w:rPr>
        <w:t>nejméně jedenkrát za</w:t>
      </w:r>
      <w:r>
        <w:rPr>
          <w:rFonts w:ascii="Times New Roman" w:eastAsia="Arial" w:hAnsi="Times New Roman" w:cs="Times New Roman"/>
          <w:szCs w:val="24"/>
        </w:rPr>
        <w:t> </w:t>
      </w:r>
      <w:r w:rsidR="00DF23DF" w:rsidRPr="00B47329">
        <w:rPr>
          <w:rFonts w:ascii="Times New Roman" w:eastAsia="Arial" w:hAnsi="Times New Roman" w:cs="Times New Roman"/>
          <w:szCs w:val="24"/>
        </w:rPr>
        <w:t xml:space="preserve">rok </w:t>
      </w:r>
      <w:r w:rsidR="007E1F5D">
        <w:rPr>
          <w:rFonts w:ascii="Times New Roman" w:eastAsia="Arial" w:hAnsi="Times New Roman" w:cs="Times New Roman"/>
          <w:szCs w:val="24"/>
        </w:rPr>
        <w:t>zastupitelstvu obce</w:t>
      </w:r>
      <w:r w:rsidR="00DF23DF" w:rsidRPr="00B47329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>
        <w:rPr>
          <w:rFonts w:ascii="Times New Roman" w:eastAsia="Arial" w:hAnsi="Times New Roman" w:cs="Times New Roman"/>
          <w:szCs w:val="24"/>
        </w:rPr>
        <w:t>.</w:t>
      </w:r>
    </w:p>
    <w:p w:rsidR="0015462E" w:rsidRPr="00B47329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3</w:t>
      </w:r>
    </w:p>
    <w:p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Podmínky pož</w:t>
      </w:r>
      <w:r w:rsidR="008E24E6" w:rsidRPr="00B47329">
        <w:rPr>
          <w:rFonts w:ascii="Times New Roman" w:hAnsi="Times New Roman" w:cs="Times New Roman"/>
          <w:b/>
          <w:szCs w:val="24"/>
        </w:rPr>
        <w:t>ární bezpečnosti při činnostech a</w:t>
      </w:r>
      <w:r w:rsidRPr="00B47329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B47329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B47329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B47329">
        <w:rPr>
          <w:rFonts w:ascii="Times New Roman" w:hAnsi="Times New Roman" w:cs="Times New Roman"/>
          <w:b/>
          <w:szCs w:val="24"/>
        </w:rPr>
        <w:t>situaci</w:t>
      </w:r>
    </w:p>
    <w:p w:rsidR="001F713F" w:rsidRPr="00B47329" w:rsidRDefault="001F713F" w:rsidP="006839A2">
      <w:pPr>
        <w:rPr>
          <w:rFonts w:cs="Times New Roman"/>
          <w:szCs w:val="24"/>
        </w:rPr>
      </w:pPr>
    </w:p>
    <w:p w:rsidR="008B0A21" w:rsidRPr="00B47329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47329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B47329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B47329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A2253C" w:rsidRPr="00B47329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47329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B47329">
        <w:rPr>
          <w:rFonts w:cs="Times New Roman"/>
          <w:color w:val="000000"/>
          <w:sz w:val="24"/>
          <w:szCs w:val="24"/>
        </w:rPr>
        <w:t>stanoví kraj svým nařízením.</w:t>
      </w:r>
      <w:r w:rsidRPr="00B47329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B47329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774374" w:rsidRPr="00B47329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Obec</w:t>
      </w:r>
      <w:r w:rsidR="00774374" w:rsidRPr="00B47329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B47329">
        <w:rPr>
          <w:rFonts w:cs="Times New Roman"/>
          <w:color w:val="000000"/>
          <w:sz w:val="24"/>
          <w:szCs w:val="24"/>
        </w:rPr>
        <w:t> </w:t>
      </w:r>
      <w:r w:rsidR="00774374" w:rsidRPr="00B47329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B47329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B47329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:rsidR="001F713F" w:rsidRPr="00B47329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B47329">
        <w:rPr>
          <w:rFonts w:cs="Times New Roman"/>
          <w:b/>
          <w:sz w:val="24"/>
          <w:szCs w:val="24"/>
        </w:rPr>
        <w:br w:type="page"/>
      </w:r>
      <w:r w:rsidR="001F713F" w:rsidRPr="00B47329">
        <w:rPr>
          <w:rFonts w:cs="Times New Roman"/>
          <w:b/>
          <w:sz w:val="24"/>
          <w:szCs w:val="24"/>
        </w:rPr>
        <w:lastRenderedPageBreak/>
        <w:t>Článek 4</w:t>
      </w:r>
    </w:p>
    <w:p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>
        <w:rPr>
          <w:rFonts w:ascii="Times New Roman" w:hAnsi="Times New Roman" w:cs="Times New Roman"/>
          <w:b/>
          <w:szCs w:val="24"/>
        </w:rPr>
        <w:t>v obci</w:t>
      </w:r>
    </w:p>
    <w:p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B47329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B47329">
        <w:rPr>
          <w:rFonts w:ascii="Times New Roman" w:hAnsi="Times New Roman" w:cs="Times New Roman"/>
          <w:szCs w:val="24"/>
        </w:rPr>
        <w:t>na území</w:t>
      </w:r>
      <w:r w:rsidRPr="00B47329">
        <w:rPr>
          <w:rFonts w:ascii="Times New Roman" w:hAnsi="Times New Roman" w:cs="Times New Roman"/>
          <w:szCs w:val="24"/>
        </w:rPr>
        <w:t xml:space="preserve"> </w:t>
      </w:r>
      <w:r w:rsidR="007E1F5D">
        <w:rPr>
          <w:rFonts w:ascii="Times New Roman" w:hAnsi="Times New Roman" w:cs="Times New Roman"/>
          <w:szCs w:val="24"/>
        </w:rPr>
        <w:t>obce</w:t>
      </w:r>
      <w:r w:rsidR="00ED1A92" w:rsidRPr="00B47329">
        <w:rPr>
          <w:rFonts w:ascii="Times New Roman" w:hAnsi="Times New Roman" w:cs="Times New Roman"/>
          <w:szCs w:val="24"/>
        </w:rPr>
        <w:t xml:space="preserve"> </w:t>
      </w:r>
      <w:r w:rsidRPr="00B47329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>.</w:t>
      </w:r>
    </w:p>
    <w:p w:rsidR="001F713F" w:rsidRPr="00B47329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47329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B47329">
        <w:rPr>
          <w:rFonts w:ascii="Times New Roman" w:hAnsi="Times New Roman" w:cs="Times New Roman"/>
          <w:szCs w:val="24"/>
        </w:rPr>
        <w:t>ohlašovnou</w:t>
      </w:r>
      <w:r w:rsidR="006A53F3" w:rsidRPr="00B47329">
        <w:rPr>
          <w:rFonts w:ascii="Times New Roman" w:hAnsi="Times New Roman" w:cs="Times New Roman"/>
          <w:szCs w:val="24"/>
        </w:rPr>
        <w:t xml:space="preserve"> požárů</w:t>
      </w:r>
      <w:r w:rsidRPr="00B47329">
        <w:rPr>
          <w:rFonts w:ascii="Times New Roman" w:hAnsi="Times New Roman" w:cs="Times New Roman"/>
          <w:szCs w:val="24"/>
        </w:rPr>
        <w:t xml:space="preserve"> </w:t>
      </w:r>
      <w:r w:rsidR="006A53F3" w:rsidRPr="00B47329">
        <w:rPr>
          <w:rFonts w:ascii="Times New Roman" w:hAnsi="Times New Roman" w:cs="Times New Roman"/>
          <w:szCs w:val="24"/>
        </w:rPr>
        <w:t>uveden</w:t>
      </w:r>
      <w:r w:rsidR="00CA06C9" w:rsidRPr="00B47329">
        <w:rPr>
          <w:rFonts w:ascii="Times New Roman" w:hAnsi="Times New Roman" w:cs="Times New Roman"/>
          <w:szCs w:val="24"/>
        </w:rPr>
        <w:t>ou</w:t>
      </w:r>
      <w:r w:rsidRPr="00B47329">
        <w:rPr>
          <w:rFonts w:ascii="Times New Roman" w:hAnsi="Times New Roman" w:cs="Times New Roman"/>
          <w:szCs w:val="24"/>
        </w:rPr>
        <w:t xml:space="preserve"> v čl. 7 </w:t>
      </w:r>
      <w:r w:rsidR="00236FAC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 xml:space="preserve">.  </w:t>
      </w:r>
    </w:p>
    <w:p w:rsidR="00A64BCA" w:rsidRPr="00B47329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B47329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5</w:t>
      </w:r>
    </w:p>
    <w:p w:rsidR="001F713F" w:rsidRPr="00B47329" w:rsidRDefault="00B43F6D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JSDHO Rybniště</w:t>
      </w:r>
      <w:r w:rsidR="001F713F" w:rsidRPr="00B47329">
        <w:rPr>
          <w:rFonts w:ascii="Times New Roman" w:hAnsi="Times New Roman" w:cs="Times New Roman"/>
          <w:b/>
          <w:szCs w:val="24"/>
        </w:rPr>
        <w:t>, kategorie, početní stav a vybavení</w:t>
      </w:r>
    </w:p>
    <w:p w:rsidR="001F713F" w:rsidRPr="00B47329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AB3A3D" w:rsidRPr="00B47329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B47329">
        <w:rPr>
          <w:rFonts w:ascii="Times New Roman" w:hAnsi="Times New Roman"/>
          <w:szCs w:val="24"/>
        </w:rPr>
        <w:t xml:space="preserve">Dislokace, kategorie a početní stav </w:t>
      </w:r>
      <w:r w:rsidR="00B43F6D">
        <w:rPr>
          <w:rFonts w:ascii="Times New Roman" w:hAnsi="Times New Roman"/>
          <w:szCs w:val="24"/>
        </w:rPr>
        <w:t>JSDHO Rybniště</w:t>
      </w:r>
      <w:r w:rsidR="003A7429" w:rsidRPr="00B47329">
        <w:rPr>
          <w:rFonts w:ascii="Times New Roman" w:hAnsi="Times New Roman" w:cs="Times New Roman"/>
          <w:szCs w:val="24"/>
        </w:rPr>
        <w:t xml:space="preserve"> </w:t>
      </w:r>
      <w:r w:rsidRPr="00B47329">
        <w:rPr>
          <w:rFonts w:ascii="Times New Roman" w:hAnsi="Times New Roman"/>
          <w:szCs w:val="24"/>
        </w:rPr>
        <w:t>a její vybavení požární technikou a</w:t>
      </w:r>
      <w:r w:rsidR="001D00D0" w:rsidRPr="00B47329">
        <w:rPr>
          <w:rFonts w:ascii="Times New Roman" w:hAnsi="Times New Roman"/>
          <w:szCs w:val="24"/>
        </w:rPr>
        <w:t> </w:t>
      </w:r>
      <w:r w:rsidRPr="00B47329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B47329">
        <w:rPr>
          <w:rFonts w:ascii="Times New Roman" w:hAnsi="Times New Roman"/>
          <w:szCs w:val="24"/>
        </w:rPr>
        <w:t>2</w:t>
      </w:r>
      <w:r w:rsidRPr="00B47329">
        <w:rPr>
          <w:rFonts w:ascii="Times New Roman" w:hAnsi="Times New Roman"/>
          <w:szCs w:val="24"/>
        </w:rPr>
        <w:t xml:space="preserve"> </w:t>
      </w:r>
      <w:r w:rsidR="00236FAC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/>
          <w:szCs w:val="24"/>
        </w:rPr>
        <w:t xml:space="preserve">.  </w:t>
      </w:r>
    </w:p>
    <w:p w:rsidR="00A64BCA" w:rsidRPr="00B47329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B47329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6</w:t>
      </w:r>
    </w:p>
    <w:p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B33744" w:rsidRPr="00B47329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B47329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B47329">
        <w:rPr>
          <w:rFonts w:ascii="Times New Roman" w:hAnsi="Times New Roman" w:cs="Times New Roman"/>
          <w:szCs w:val="24"/>
          <w:vertAlign w:val="superscript"/>
        </w:rPr>
        <w:t>)</w:t>
      </w:r>
    </w:p>
    <w:p w:rsidR="00B85430" w:rsidRPr="004468CE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Obec</w:t>
      </w:r>
      <w:r w:rsidR="00DF23DF" w:rsidRPr="00B47329">
        <w:rPr>
          <w:rFonts w:ascii="Times New Roman" w:hAnsi="Times New Roman" w:cs="Times New Roman"/>
          <w:szCs w:val="24"/>
        </w:rPr>
        <w:t xml:space="preserve"> nad </w:t>
      </w:r>
      <w:r w:rsidR="00DF23DF" w:rsidRPr="004468CE">
        <w:rPr>
          <w:rFonts w:ascii="Times New Roman" w:hAnsi="Times New Roman" w:cs="Times New Roman"/>
          <w:szCs w:val="24"/>
        </w:rPr>
        <w:t>rámec výše uvedeného nařízení</w:t>
      </w:r>
      <w:r w:rsidR="006829BF">
        <w:rPr>
          <w:rFonts w:ascii="Times New Roman" w:hAnsi="Times New Roman" w:cs="Times New Roman"/>
          <w:szCs w:val="24"/>
        </w:rPr>
        <w:t xml:space="preserve"> </w:t>
      </w:r>
      <w:r w:rsidR="00DF23DF" w:rsidRPr="004468CE">
        <w:rPr>
          <w:rFonts w:ascii="Times New Roman" w:hAnsi="Times New Roman" w:cs="Times New Roman"/>
          <w:szCs w:val="24"/>
        </w:rPr>
        <w:t>stanoví další zdroj</w:t>
      </w:r>
      <w:r w:rsidR="006829BF">
        <w:rPr>
          <w:rFonts w:ascii="Times New Roman" w:hAnsi="Times New Roman" w:cs="Times New Roman"/>
          <w:szCs w:val="24"/>
        </w:rPr>
        <w:t>e</w:t>
      </w:r>
      <w:r w:rsidR="00DF23DF" w:rsidRPr="004468CE">
        <w:rPr>
          <w:rFonts w:ascii="Times New Roman" w:hAnsi="Times New Roman" w:cs="Times New Roman"/>
          <w:szCs w:val="24"/>
        </w:rPr>
        <w:t xml:space="preserve"> vody pro hašení požárů</w:t>
      </w:r>
      <w:r w:rsidR="006829BF">
        <w:rPr>
          <w:rFonts w:ascii="Times New Roman" w:hAnsi="Times New Roman" w:cs="Times New Roman"/>
          <w:szCs w:val="24"/>
        </w:rPr>
        <w:t xml:space="preserve">, kterými jsou: </w:t>
      </w:r>
      <w:r w:rsidR="004B0EEF">
        <w:rPr>
          <w:rFonts w:ascii="Times New Roman" w:hAnsi="Times New Roman" w:cs="Times New Roman"/>
          <w:szCs w:val="24"/>
        </w:rPr>
        <w:t>Velký rybník, rybníček u č. p. 109 v Rybništi, požární nádrž u hasičské zbrojnice, rybníček u č. p. 113 v Nové Chřibské a rybníček u č. p. 35 v Nové Chřibské.</w:t>
      </w:r>
    </w:p>
    <w:p w:rsidR="00F44EB5" w:rsidRPr="004468CE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4468CE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4468CE">
        <w:rPr>
          <w:rStyle w:val="Znakapoznpodarou"/>
          <w:rFonts w:cs="Times New Roman"/>
          <w:sz w:val="24"/>
          <w:szCs w:val="24"/>
        </w:rPr>
        <w:footnoteReference w:id="4"/>
      </w:r>
      <w:r w:rsidRPr="004468CE">
        <w:rPr>
          <w:rFonts w:cs="Times New Roman"/>
          <w:sz w:val="24"/>
          <w:szCs w:val="24"/>
          <w:vertAlign w:val="superscript"/>
        </w:rPr>
        <w:t>)</w:t>
      </w:r>
    </w:p>
    <w:p w:rsidR="00162A13" w:rsidRPr="004468CE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:rsidR="001F713F" w:rsidRPr="004468C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68CE">
        <w:rPr>
          <w:rFonts w:ascii="Times New Roman" w:hAnsi="Times New Roman" w:cs="Times New Roman"/>
          <w:b/>
          <w:szCs w:val="24"/>
        </w:rPr>
        <w:t>Článek 7</w:t>
      </w:r>
    </w:p>
    <w:p w:rsidR="001F713F" w:rsidRPr="004468CE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68CE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4468CE">
        <w:rPr>
          <w:rFonts w:ascii="Times New Roman" w:hAnsi="Times New Roman" w:cs="Times New Roman"/>
          <w:b/>
          <w:szCs w:val="24"/>
        </w:rPr>
        <w:t xml:space="preserve"> a další</w:t>
      </w:r>
      <w:r w:rsidRPr="004468CE">
        <w:rPr>
          <w:rFonts w:ascii="Times New Roman" w:hAnsi="Times New Roman" w:cs="Times New Roman"/>
          <w:b/>
          <w:szCs w:val="24"/>
        </w:rPr>
        <w:t>ch</w:t>
      </w:r>
      <w:r w:rsidR="001F713F" w:rsidRPr="004468CE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:rsidR="001F713F" w:rsidRPr="004468C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E45825" w:rsidRPr="004468CE" w:rsidRDefault="007E1F5D" w:rsidP="006839A2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Obec</w:t>
      </w:r>
      <w:r w:rsidR="002B61B5" w:rsidRPr="004468CE">
        <w:rPr>
          <w:rFonts w:ascii="Times New Roman" w:hAnsi="Times New Roman" w:cs="Times New Roman"/>
          <w:szCs w:val="24"/>
        </w:rPr>
        <w:t xml:space="preserve"> </w:t>
      </w:r>
      <w:r w:rsidR="001F713F" w:rsidRPr="004468CE">
        <w:rPr>
          <w:rFonts w:ascii="Times New Roman" w:hAnsi="Times New Roman" w:cs="Times New Roman"/>
          <w:szCs w:val="24"/>
        </w:rPr>
        <w:t xml:space="preserve">zřizuje </w:t>
      </w:r>
      <w:r w:rsidR="00ED6146" w:rsidRPr="004468CE">
        <w:rPr>
          <w:rFonts w:ascii="Times New Roman" w:hAnsi="Times New Roman" w:cs="Times New Roman"/>
          <w:szCs w:val="24"/>
        </w:rPr>
        <w:t>ohlašovnu</w:t>
      </w:r>
      <w:r w:rsidR="001F713F" w:rsidRPr="004468CE">
        <w:rPr>
          <w:rFonts w:ascii="Times New Roman" w:hAnsi="Times New Roman" w:cs="Times New Roman"/>
          <w:szCs w:val="24"/>
        </w:rPr>
        <w:t xml:space="preserve"> požárů</w:t>
      </w:r>
      <w:r w:rsidR="00D363A0" w:rsidRPr="004468CE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4468CE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4468CE">
        <w:rPr>
          <w:rFonts w:ascii="Times New Roman" w:hAnsi="Times New Roman" w:cs="Times New Roman"/>
          <w:szCs w:val="24"/>
        </w:rPr>
        <w:t xml:space="preserve">, </w:t>
      </w:r>
      <w:r w:rsidR="0009303B" w:rsidRPr="004468CE">
        <w:rPr>
          <w:rFonts w:ascii="Times New Roman" w:hAnsi="Times New Roman" w:cs="Times New Roman"/>
          <w:szCs w:val="24"/>
        </w:rPr>
        <w:t>kter</w:t>
      </w:r>
      <w:r w:rsidR="00ED6146" w:rsidRPr="004468CE">
        <w:rPr>
          <w:rFonts w:ascii="Times New Roman" w:hAnsi="Times New Roman" w:cs="Times New Roman"/>
          <w:szCs w:val="24"/>
        </w:rPr>
        <w:t>á</w:t>
      </w:r>
      <w:r w:rsidR="0009303B" w:rsidRPr="004468CE">
        <w:rPr>
          <w:rFonts w:ascii="Times New Roman" w:hAnsi="Times New Roman" w:cs="Times New Roman"/>
          <w:szCs w:val="24"/>
        </w:rPr>
        <w:t xml:space="preserve"> j</w:t>
      </w:r>
      <w:r w:rsidR="00ED6146" w:rsidRPr="004468CE">
        <w:rPr>
          <w:rFonts w:ascii="Times New Roman" w:hAnsi="Times New Roman" w:cs="Times New Roman"/>
          <w:szCs w:val="24"/>
        </w:rPr>
        <w:t>e</w:t>
      </w:r>
      <w:r w:rsidR="002B61B5" w:rsidRPr="004468CE">
        <w:rPr>
          <w:rFonts w:ascii="Times New Roman" w:hAnsi="Times New Roman" w:cs="Times New Roman"/>
          <w:szCs w:val="24"/>
        </w:rPr>
        <w:t xml:space="preserve"> </w:t>
      </w:r>
      <w:r w:rsidR="001F713F" w:rsidRPr="004468CE">
        <w:rPr>
          <w:rFonts w:ascii="Times New Roman" w:hAnsi="Times New Roman" w:cs="Times New Roman"/>
          <w:szCs w:val="24"/>
        </w:rPr>
        <w:t>trvale označen</w:t>
      </w:r>
      <w:r w:rsidR="00ED6146" w:rsidRPr="004468CE">
        <w:rPr>
          <w:rFonts w:ascii="Times New Roman" w:hAnsi="Times New Roman" w:cs="Times New Roman"/>
          <w:szCs w:val="24"/>
        </w:rPr>
        <w:t>a</w:t>
      </w:r>
      <w:r w:rsidR="001F713F" w:rsidRPr="004468CE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4468CE">
        <w:rPr>
          <w:rFonts w:ascii="Times New Roman" w:hAnsi="Times New Roman" w:cs="Times New Roman"/>
          <w:szCs w:val="24"/>
        </w:rPr>
        <w:t xml:space="preserve">, </w:t>
      </w:r>
      <w:r w:rsidR="0009303B" w:rsidRPr="004468CE">
        <w:rPr>
          <w:rFonts w:ascii="Times New Roman" w:hAnsi="Times New Roman" w:cs="Times New Roman"/>
          <w:szCs w:val="24"/>
        </w:rPr>
        <w:t>kter</w:t>
      </w:r>
      <w:r w:rsidR="00ED6146" w:rsidRPr="004468CE">
        <w:rPr>
          <w:rFonts w:ascii="Times New Roman" w:hAnsi="Times New Roman" w:cs="Times New Roman"/>
          <w:szCs w:val="24"/>
        </w:rPr>
        <w:t>á</w:t>
      </w:r>
      <w:r w:rsidR="00C27E71" w:rsidRPr="004468CE">
        <w:rPr>
          <w:rFonts w:ascii="Times New Roman" w:hAnsi="Times New Roman" w:cs="Times New Roman"/>
          <w:szCs w:val="24"/>
        </w:rPr>
        <w:t xml:space="preserve"> se nachází</w:t>
      </w:r>
      <w:r w:rsidR="00CA32BE" w:rsidRPr="004468CE">
        <w:rPr>
          <w:rFonts w:ascii="Times New Roman" w:hAnsi="Times New Roman" w:cs="Times New Roman"/>
          <w:szCs w:val="24"/>
        </w:rPr>
        <w:t xml:space="preserve"> </w:t>
      </w:r>
      <w:r w:rsidR="00B85430" w:rsidRPr="004468CE">
        <w:rPr>
          <w:rFonts w:ascii="Times New Roman" w:hAnsi="Times New Roman" w:cs="Times New Roman"/>
          <w:szCs w:val="24"/>
        </w:rPr>
        <w:t xml:space="preserve">v budově </w:t>
      </w:r>
      <w:r>
        <w:rPr>
          <w:rFonts w:ascii="Times New Roman" w:hAnsi="Times New Roman" w:cs="Times New Roman"/>
          <w:szCs w:val="24"/>
        </w:rPr>
        <w:t>Obecního</w:t>
      </w:r>
      <w:r w:rsidR="004468CE" w:rsidRPr="004468CE">
        <w:rPr>
          <w:rFonts w:ascii="Times New Roman" w:hAnsi="Times New Roman" w:cs="Times New Roman"/>
          <w:szCs w:val="24"/>
        </w:rPr>
        <w:t xml:space="preserve"> úřadu </w:t>
      </w:r>
      <w:r>
        <w:rPr>
          <w:rFonts w:ascii="Times New Roman" w:hAnsi="Times New Roman" w:cs="Times New Roman"/>
          <w:szCs w:val="24"/>
        </w:rPr>
        <w:t>Rybniště</w:t>
      </w:r>
      <w:r w:rsidR="004468CE" w:rsidRPr="004468CE">
        <w:rPr>
          <w:rFonts w:ascii="Times New Roman" w:hAnsi="Times New Roman" w:cs="Times New Roman"/>
          <w:szCs w:val="24"/>
        </w:rPr>
        <w:t xml:space="preserve"> </w:t>
      </w:r>
      <w:r w:rsidR="00B85430" w:rsidRPr="004468CE">
        <w:rPr>
          <w:rFonts w:ascii="Times New Roman" w:hAnsi="Times New Roman" w:cs="Times New Roman"/>
          <w:szCs w:val="24"/>
        </w:rPr>
        <w:t xml:space="preserve">na adrese </w:t>
      </w:r>
      <w:r>
        <w:rPr>
          <w:rFonts w:ascii="Times New Roman" w:hAnsi="Times New Roman" w:cs="Times New Roman"/>
          <w:szCs w:val="24"/>
        </w:rPr>
        <w:t xml:space="preserve">Rybniště 33, 407 51; telefon 723 020 692 </w:t>
      </w:r>
      <w:r w:rsidR="004468CE" w:rsidRPr="004468CE">
        <w:rPr>
          <w:rFonts w:ascii="Times New Roman" w:hAnsi="Times New Roman" w:cs="Times New Roman"/>
          <w:szCs w:val="24"/>
        </w:rPr>
        <w:t xml:space="preserve"> nebo </w:t>
      </w:r>
      <w:r>
        <w:rPr>
          <w:rFonts w:ascii="Times New Roman" w:hAnsi="Times New Roman" w:cs="Times New Roman"/>
          <w:szCs w:val="24"/>
        </w:rPr>
        <w:t>607 932 981 (velitel JSDHO Rybniště)</w:t>
      </w:r>
      <w:r w:rsidR="002D770E" w:rsidRPr="004468CE">
        <w:rPr>
          <w:rFonts w:ascii="Times New Roman" w:hAnsi="Times New Roman" w:cs="Times New Roman"/>
          <w:szCs w:val="24"/>
        </w:rPr>
        <w:t>.</w:t>
      </w:r>
    </w:p>
    <w:p w:rsidR="00FF2485" w:rsidRPr="004468CE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Obec</w:t>
      </w:r>
      <w:r w:rsidR="00FF2485" w:rsidRPr="004468CE">
        <w:rPr>
          <w:rFonts w:ascii="Times New Roman" w:hAnsi="Times New Roman" w:cs="Times New Roman"/>
          <w:szCs w:val="24"/>
        </w:rPr>
        <w:t xml:space="preserve"> </w:t>
      </w:r>
      <w:r w:rsidR="003A7429" w:rsidRPr="004468CE">
        <w:rPr>
          <w:rFonts w:ascii="Times New Roman" w:hAnsi="Times New Roman" w:cs="Times New Roman"/>
          <w:szCs w:val="24"/>
        </w:rPr>
        <w:t>ne</w:t>
      </w:r>
      <w:r w:rsidR="00FF2485" w:rsidRPr="004468CE">
        <w:rPr>
          <w:rFonts w:ascii="Times New Roman" w:hAnsi="Times New Roman" w:cs="Times New Roman"/>
          <w:szCs w:val="24"/>
        </w:rPr>
        <w:t>zřizuje další míst</w:t>
      </w:r>
      <w:r w:rsidR="00F1175B" w:rsidRPr="004468CE">
        <w:rPr>
          <w:rFonts w:ascii="Times New Roman" w:hAnsi="Times New Roman" w:cs="Times New Roman"/>
          <w:szCs w:val="24"/>
        </w:rPr>
        <w:t>o</w:t>
      </w:r>
      <w:r w:rsidR="00FF2485" w:rsidRPr="004468CE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4468CE">
        <w:rPr>
          <w:rFonts w:ascii="Times New Roman" w:hAnsi="Times New Roman" w:cs="Times New Roman"/>
          <w:szCs w:val="24"/>
        </w:rPr>
        <w:t>é</w:t>
      </w:r>
      <w:r w:rsidR="00FF2485" w:rsidRPr="004468CE">
        <w:rPr>
          <w:rFonts w:ascii="Times New Roman" w:hAnsi="Times New Roman" w:cs="Times New Roman"/>
          <w:szCs w:val="24"/>
        </w:rPr>
        <w:t xml:space="preserve"> </w:t>
      </w:r>
      <w:r w:rsidR="00F1175B" w:rsidRPr="004468CE">
        <w:rPr>
          <w:rFonts w:ascii="Times New Roman" w:hAnsi="Times New Roman" w:cs="Times New Roman"/>
          <w:szCs w:val="24"/>
        </w:rPr>
        <w:t>je</w:t>
      </w:r>
      <w:r w:rsidR="00FF2485" w:rsidRPr="004468CE">
        <w:rPr>
          <w:rFonts w:ascii="Times New Roman" w:hAnsi="Times New Roman" w:cs="Times New Roman"/>
          <w:szCs w:val="24"/>
        </w:rPr>
        <w:t xml:space="preserve"> trvale označen</w:t>
      </w:r>
      <w:r w:rsidR="00F1175B" w:rsidRPr="004468CE">
        <w:rPr>
          <w:rFonts w:ascii="Times New Roman" w:hAnsi="Times New Roman" w:cs="Times New Roman"/>
          <w:szCs w:val="24"/>
        </w:rPr>
        <w:t>o</w:t>
      </w:r>
      <w:r w:rsidR="00FF2485" w:rsidRPr="004468CE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4468CE">
        <w:rPr>
          <w:rFonts w:ascii="Times New Roman" w:hAnsi="Times New Roman" w:cs="Times New Roman"/>
          <w:szCs w:val="24"/>
        </w:rPr>
        <w:t>.</w:t>
      </w:r>
    </w:p>
    <w:p w:rsidR="007F756B" w:rsidRPr="004468CE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:rsidR="001F713F" w:rsidRPr="004468C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68CE">
        <w:rPr>
          <w:rFonts w:ascii="Times New Roman" w:hAnsi="Times New Roman" w:cs="Times New Roman"/>
          <w:b/>
          <w:szCs w:val="24"/>
        </w:rPr>
        <w:t>Článek 8</w:t>
      </w:r>
    </w:p>
    <w:p w:rsidR="001F713F" w:rsidRPr="004468C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4468CE">
        <w:rPr>
          <w:rFonts w:ascii="Times New Roman" w:hAnsi="Times New Roman" w:cs="Times New Roman"/>
          <w:b/>
          <w:szCs w:val="24"/>
        </w:rPr>
        <w:t>Způsob vyhlášení požárního poplachu</w:t>
      </w:r>
    </w:p>
    <w:p w:rsidR="001F713F" w:rsidRPr="004468CE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:rsidR="009E0F39" w:rsidRPr="009E0F39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E0F39">
        <w:rPr>
          <w:color w:val="auto"/>
        </w:rPr>
        <w:t xml:space="preserve">Vyhlášení požárního poplachu </w:t>
      </w:r>
      <w:r w:rsidR="007E1F5D" w:rsidRPr="009E0F39">
        <w:rPr>
          <w:color w:val="auto"/>
        </w:rPr>
        <w:t>v obci</w:t>
      </w:r>
      <w:r w:rsidRPr="009E0F39">
        <w:rPr>
          <w:color w:val="auto"/>
        </w:rPr>
        <w:t xml:space="preserve"> se provádí </w:t>
      </w:r>
      <w:r w:rsidR="00102666" w:rsidRPr="009E0F39">
        <w:rPr>
          <w:color w:val="auto"/>
          <w:sz w:val="23"/>
          <w:szCs w:val="23"/>
        </w:rPr>
        <w:t xml:space="preserve">prostřednictvím </w:t>
      </w:r>
      <w:r w:rsidR="009E0F39" w:rsidRPr="009E0F39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:rsidR="00FF390A" w:rsidRPr="009E0F39" w:rsidRDefault="009E0F39" w:rsidP="009E0F39">
      <w:pPr>
        <w:pStyle w:val="Default"/>
        <w:numPr>
          <w:ilvl w:val="0"/>
          <w:numId w:val="11"/>
        </w:numPr>
        <w:jc w:val="both"/>
      </w:pPr>
      <w:r w:rsidRPr="009E0F39">
        <w:t>v případě poruchy technických zařízení pro vyhlášení požárního poplachu se požární poplach v</w:t>
      </w:r>
      <w:r>
        <w:t> </w:t>
      </w:r>
      <w:r w:rsidRPr="009E0F39">
        <w:t>obci vyhlašuje obecním rozhlasem nebo od úst k ústům</w:t>
      </w:r>
    </w:p>
    <w:p w:rsidR="009E0F39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9E0F39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:rsidR="001F713F" w:rsidRPr="000E2B3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:rsidR="001F713F" w:rsidRPr="000E2B3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:rsidR="001F713F" w:rsidRPr="000E2B3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>z požárního poplachového plánu kraje</w:t>
      </w:r>
    </w:p>
    <w:p w:rsidR="001F713F" w:rsidRPr="000E2B3E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:rsidR="001F713F" w:rsidRPr="000E2B3E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0E2B3E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0E2B3E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0E2B3E">
        <w:rPr>
          <w:rFonts w:ascii="Times New Roman" w:hAnsi="Times New Roman" w:cs="Times New Roman"/>
          <w:szCs w:val="24"/>
          <w:vertAlign w:val="superscript"/>
        </w:rPr>
        <w:t>)</w:t>
      </w:r>
      <w:r w:rsidRPr="000E2B3E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0E2B3E">
        <w:rPr>
          <w:rFonts w:ascii="Times New Roman" w:hAnsi="Times New Roman" w:cs="Times New Roman"/>
          <w:szCs w:val="24"/>
        </w:rPr>
        <w:t>1</w:t>
      </w:r>
      <w:r w:rsidRPr="000E2B3E">
        <w:rPr>
          <w:rFonts w:ascii="Times New Roman" w:hAnsi="Times New Roman" w:cs="Times New Roman"/>
          <w:szCs w:val="24"/>
        </w:rPr>
        <w:t xml:space="preserve"> </w:t>
      </w:r>
      <w:r w:rsidR="00236FAC" w:rsidRPr="000E2B3E">
        <w:rPr>
          <w:rFonts w:ascii="Times New Roman" w:hAnsi="Times New Roman" w:cs="Times New Roman"/>
          <w:szCs w:val="24"/>
        </w:rPr>
        <w:t>této vyhlášky</w:t>
      </w:r>
      <w:r w:rsidRPr="000E2B3E">
        <w:rPr>
          <w:rFonts w:ascii="Times New Roman" w:hAnsi="Times New Roman" w:cs="Times New Roman"/>
          <w:szCs w:val="24"/>
        </w:rPr>
        <w:t>.</w:t>
      </w:r>
    </w:p>
    <w:p w:rsidR="00CE79B1" w:rsidRPr="000E2B3E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94233E" w:rsidRPr="000E2B3E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 xml:space="preserve">Článek </w:t>
      </w:r>
      <w:r w:rsidR="009E0F39">
        <w:rPr>
          <w:rFonts w:ascii="Times New Roman" w:hAnsi="Times New Roman" w:cs="Times New Roman"/>
          <w:b/>
          <w:szCs w:val="24"/>
        </w:rPr>
        <w:t>10</w:t>
      </w:r>
    </w:p>
    <w:p w:rsidR="00D254EF" w:rsidRPr="000E2B3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>Účinnost</w:t>
      </w:r>
    </w:p>
    <w:p w:rsidR="00D254EF" w:rsidRPr="000E2B3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254EF" w:rsidRPr="000E2B3E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0E2B3E">
        <w:rPr>
          <w:rFonts w:ascii="Times New Roman" w:hAnsi="Times New Roman" w:cs="Times New Roman"/>
          <w:szCs w:val="24"/>
        </w:rPr>
        <w:t>Tato vyhláška nabývá účinnosti</w:t>
      </w:r>
      <w:r w:rsidR="00D83C6A" w:rsidRPr="000E2B3E">
        <w:rPr>
          <w:rFonts w:ascii="Times New Roman" w:hAnsi="Times New Roman" w:cs="Times New Roman"/>
          <w:szCs w:val="24"/>
        </w:rPr>
        <w:t xml:space="preserve"> počátkem</w:t>
      </w:r>
      <w:r w:rsidRPr="000E2B3E">
        <w:rPr>
          <w:rFonts w:ascii="Times New Roman" w:hAnsi="Times New Roman" w:cs="Times New Roman"/>
          <w:szCs w:val="24"/>
        </w:rPr>
        <w:t xml:space="preserve"> patnáct</w:t>
      </w:r>
      <w:r w:rsidR="00D83C6A" w:rsidRPr="000E2B3E">
        <w:rPr>
          <w:rFonts w:ascii="Times New Roman" w:hAnsi="Times New Roman" w:cs="Times New Roman"/>
          <w:szCs w:val="24"/>
        </w:rPr>
        <w:t>ého</w:t>
      </w:r>
      <w:r w:rsidRPr="000E2B3E">
        <w:rPr>
          <w:rFonts w:ascii="Times New Roman" w:hAnsi="Times New Roman" w:cs="Times New Roman"/>
          <w:szCs w:val="24"/>
        </w:rPr>
        <w:t xml:space="preserve"> dne</w:t>
      </w:r>
      <w:r w:rsidR="00D83C6A" w:rsidRPr="000E2B3E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:rsidR="00D448BA" w:rsidRPr="000E2B3E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1A19E1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9E0F39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0E2B3E" w:rsidRPr="000E2B3E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1A19E1" w:rsidRPr="000E2B3E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B15EF7" w:rsidRPr="000E2B3E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0E2B3E" w:rsidTr="00FB2667">
        <w:trPr>
          <w:jc w:val="center"/>
        </w:trPr>
        <w:tc>
          <w:tcPr>
            <w:tcW w:w="4536" w:type="dxa"/>
          </w:tcPr>
          <w:p w:rsidR="00B15EF7" w:rsidRPr="000E2B3E" w:rsidRDefault="00B15EF7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:rsidR="00B15EF7" w:rsidRPr="000E2B3E" w:rsidRDefault="00B15EF7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0E2B3E" w:rsidTr="00FB2667">
        <w:trPr>
          <w:jc w:val="center"/>
        </w:trPr>
        <w:tc>
          <w:tcPr>
            <w:tcW w:w="4536" w:type="dxa"/>
          </w:tcPr>
          <w:p w:rsidR="00B15EF7" w:rsidRPr="000E2B3E" w:rsidRDefault="009E0F39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Petra Vojtěchová</w:t>
            </w:r>
            <w:r w:rsidR="00B15EF7" w:rsidRPr="000E2B3E">
              <w:rPr>
                <w:sz w:val="24"/>
                <w:szCs w:val="24"/>
              </w:rPr>
              <w:t xml:space="preserve"> v. r.</w:t>
            </w:r>
          </w:p>
          <w:p w:rsidR="00B15EF7" w:rsidRPr="000E2B3E" w:rsidRDefault="000E2B3E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>místo</w:t>
            </w:r>
            <w:r w:rsidR="00B15EF7" w:rsidRPr="000E2B3E">
              <w:rPr>
                <w:sz w:val="24"/>
                <w:szCs w:val="24"/>
              </w:rPr>
              <w:t>starost</w:t>
            </w:r>
            <w:r w:rsidRPr="000E2B3E">
              <w:rPr>
                <w:sz w:val="24"/>
                <w:szCs w:val="24"/>
              </w:rPr>
              <w:t>k</w:t>
            </w:r>
            <w:r w:rsidR="00B15EF7" w:rsidRPr="000E2B3E">
              <w:rPr>
                <w:sz w:val="24"/>
                <w:szCs w:val="24"/>
              </w:rPr>
              <w:t>a</w:t>
            </w:r>
          </w:p>
        </w:tc>
        <w:tc>
          <w:tcPr>
            <w:tcW w:w="4499" w:type="dxa"/>
          </w:tcPr>
          <w:p w:rsidR="00B15EF7" w:rsidRPr="000E2B3E" w:rsidRDefault="00B15EF7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 xml:space="preserve">Ing. </w:t>
            </w:r>
            <w:r w:rsidR="009E0F39">
              <w:rPr>
                <w:sz w:val="24"/>
                <w:szCs w:val="24"/>
              </w:rPr>
              <w:t>Roman Forfera</w:t>
            </w:r>
            <w:r w:rsidRPr="000E2B3E">
              <w:rPr>
                <w:sz w:val="24"/>
                <w:szCs w:val="24"/>
              </w:rPr>
              <w:t xml:space="preserve"> v. r.</w:t>
            </w:r>
          </w:p>
          <w:p w:rsidR="00B15EF7" w:rsidRPr="000E2B3E" w:rsidRDefault="009E0F39" w:rsidP="000E2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</w:t>
            </w:r>
            <w:r w:rsidR="000E2B3E" w:rsidRPr="000E2B3E">
              <w:rPr>
                <w:sz w:val="24"/>
                <w:szCs w:val="24"/>
              </w:rPr>
              <w:t>a</w:t>
            </w:r>
          </w:p>
        </w:tc>
      </w:tr>
    </w:tbl>
    <w:p w:rsidR="00B15EF7" w:rsidRPr="000E2B3E" w:rsidRDefault="00B15EF7" w:rsidP="006839A2">
      <w:pPr>
        <w:jc w:val="both"/>
        <w:rPr>
          <w:sz w:val="2"/>
          <w:szCs w:val="2"/>
        </w:rPr>
      </w:pPr>
    </w:p>
    <w:p w:rsidR="00B15EF7" w:rsidRPr="000E2B3E" w:rsidRDefault="00B15EF7" w:rsidP="006839A2">
      <w:pPr>
        <w:rPr>
          <w:sz w:val="2"/>
          <w:szCs w:val="2"/>
        </w:rPr>
      </w:pPr>
      <w:r w:rsidRPr="000E2B3E">
        <w:rPr>
          <w:sz w:val="24"/>
        </w:rPr>
        <w:t xml:space="preserve"> </w:t>
      </w:r>
    </w:p>
    <w:p w:rsidR="00B15EF7" w:rsidRPr="000E2B3E" w:rsidRDefault="00B15EF7" w:rsidP="006839A2">
      <w:pPr>
        <w:pStyle w:val="Zkladntext"/>
        <w:spacing w:after="0"/>
        <w:rPr>
          <w:sz w:val="2"/>
          <w:szCs w:val="2"/>
        </w:rPr>
      </w:pPr>
    </w:p>
    <w:p w:rsidR="00B15EF7" w:rsidRPr="000E2B3E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0E2B3E">
        <w:rPr>
          <w:rFonts w:cs="Times New Roman"/>
          <w:b/>
          <w:szCs w:val="24"/>
        </w:rPr>
        <w:br w:type="page"/>
      </w:r>
    </w:p>
    <w:p w:rsidR="00DF23DF" w:rsidRPr="000E2B3E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0E2B3E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0E2B3E">
        <w:rPr>
          <w:rFonts w:ascii="Times New Roman" w:hAnsi="Times New Roman" w:cs="Times New Roman"/>
          <w:b/>
          <w:szCs w:val="24"/>
        </w:rPr>
        <w:t>1</w:t>
      </w:r>
      <w:r w:rsidRPr="000E2B3E">
        <w:rPr>
          <w:rFonts w:ascii="Times New Roman" w:hAnsi="Times New Roman" w:cs="Times New Roman"/>
          <w:b/>
          <w:szCs w:val="24"/>
        </w:rPr>
        <w:t> </w:t>
      </w:r>
      <w:r w:rsidR="00236FAC" w:rsidRPr="000E2B3E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:rsidR="00871B62" w:rsidRPr="000E2B3E" w:rsidRDefault="00871B62" w:rsidP="006839A2">
      <w:pPr>
        <w:rPr>
          <w:rFonts w:cs="Times New Roman"/>
          <w:b/>
          <w:sz w:val="24"/>
          <w:szCs w:val="24"/>
        </w:rPr>
      </w:pPr>
    </w:p>
    <w:p w:rsidR="00B85430" w:rsidRPr="000E2B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0E2B3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:rsidR="00B85430" w:rsidRPr="000E2B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0E2B3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:rsidR="00B85430" w:rsidRPr="000E2B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:rsidR="00B85430" w:rsidRPr="000E2B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:rsidR="00B85430" w:rsidRPr="000E2B3E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E2B3E">
        <w:rPr>
          <w:rFonts w:ascii="Times New Roman" w:eastAsia="Calibri" w:hAnsi="Times New Roman" w:cs="Times New Roman"/>
          <w:szCs w:val="24"/>
        </w:rPr>
        <w:t xml:space="preserve">Územní odbor </w:t>
      </w:r>
      <w:r w:rsidR="009E0F39">
        <w:rPr>
          <w:rFonts w:ascii="Times New Roman" w:eastAsia="Calibri" w:hAnsi="Times New Roman" w:cs="Times New Roman"/>
          <w:szCs w:val="24"/>
        </w:rPr>
        <w:t>Děčín</w:t>
      </w:r>
      <w:r w:rsidR="00E66D6D" w:rsidRPr="000E2B3E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0E2B3E">
        <w:rPr>
          <w:rFonts w:ascii="Times New Roman" w:hAnsi="Times New Roman" w:cs="Times New Roman"/>
          <w:szCs w:val="24"/>
        </w:rPr>
        <w:t xml:space="preserve">– okres </w:t>
      </w:r>
      <w:r w:rsidR="009E0F39">
        <w:rPr>
          <w:rFonts w:ascii="Times New Roman" w:eastAsia="Calibri" w:hAnsi="Times New Roman" w:cs="Times New Roman"/>
          <w:szCs w:val="24"/>
        </w:rPr>
        <w:t>Děčín</w:t>
      </w:r>
    </w:p>
    <w:p w:rsidR="00B85430" w:rsidRPr="000E2B3E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:rsidR="00B85430" w:rsidRPr="000E2B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0E2B3E">
        <w:rPr>
          <w:b/>
          <w:color w:val="000000"/>
          <w:sz w:val="24"/>
          <w:szCs w:val="24"/>
        </w:rPr>
        <w:t>POŽÁRNÍ</w:t>
      </w:r>
    </w:p>
    <w:p w:rsidR="00B85430" w:rsidRPr="000E2B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0E2B3E">
        <w:rPr>
          <w:b/>
          <w:color w:val="000000"/>
          <w:sz w:val="24"/>
          <w:szCs w:val="24"/>
        </w:rPr>
        <w:t>POPLACHOVÝ PLÁN</w:t>
      </w:r>
    </w:p>
    <w:p w:rsidR="00B85430" w:rsidRPr="000E2B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:rsidR="00E66D6D" w:rsidRPr="009E0F39" w:rsidRDefault="00B85430" w:rsidP="006839A2">
      <w:pPr>
        <w:pStyle w:val="Bezmezer"/>
      </w:pPr>
      <w:r w:rsidRPr="009E0F39">
        <w:rPr>
          <w:color w:val="000000"/>
        </w:rPr>
        <w:t>Pro  město - obec:</w:t>
      </w:r>
      <w:r w:rsidRPr="009E0F39">
        <w:rPr>
          <w:color w:val="000000"/>
        </w:rPr>
        <w:tab/>
      </w:r>
      <w:r w:rsidRPr="009E0F39">
        <w:rPr>
          <w:color w:val="000000"/>
        </w:rPr>
        <w:tab/>
      </w:r>
      <w:r w:rsidR="009E0F39" w:rsidRPr="009E0F39">
        <w:rPr>
          <w:b/>
          <w:bCs/>
          <w:u w:val="single"/>
        </w:rPr>
        <w:t>Rybniště</w:t>
      </w:r>
    </w:p>
    <w:p w:rsidR="00E66D6D" w:rsidRPr="009E0F39" w:rsidRDefault="00E66D6D" w:rsidP="000E2B3E">
      <w:pPr>
        <w:pStyle w:val="Bezmezer"/>
      </w:pPr>
      <w:r w:rsidRPr="009E0F39">
        <w:tab/>
      </w:r>
      <w:r w:rsidRPr="009E0F39">
        <w:tab/>
      </w:r>
      <w:r w:rsidRPr="009E0F39">
        <w:tab/>
      </w:r>
      <w:r w:rsidRPr="009E0F39">
        <w:tab/>
      </w:r>
      <w:r w:rsidR="009E0F39" w:rsidRPr="009E0F39">
        <w:t>Rybniště</w:t>
      </w:r>
    </w:p>
    <w:p w:rsidR="00B85430" w:rsidRPr="009E0F39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9E0F39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30" w:rsidRPr="009E0F39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E0F39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30" w:rsidRPr="009E0F39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E0F39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9E0F39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D" w:rsidRPr="009E0F39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E0F39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1" w:rsidRPr="009E0F39" w:rsidRDefault="00CE79B1" w:rsidP="006839A2">
            <w:pPr>
              <w:pStyle w:val="Bezmezer"/>
            </w:pPr>
          </w:p>
          <w:p w:rsidR="00CE79B1" w:rsidRPr="009E0F39" w:rsidRDefault="009E0F39" w:rsidP="006839A2">
            <w:pPr>
              <w:pStyle w:val="Bezmezer"/>
            </w:pPr>
            <w:r w:rsidRPr="009E0F39">
              <w:t>SDH Rybniště</w:t>
            </w:r>
            <w:r w:rsidRPr="009E0F39">
              <w:br/>
              <w:t>SDH Krásná Lípa</w:t>
            </w:r>
            <w:r w:rsidRPr="009E0F39">
              <w:br/>
              <w:t>HZS Varnsdorf</w:t>
            </w:r>
            <w:r w:rsidRPr="009E0F39">
              <w:br/>
              <w:t xml:space="preserve">SDH Horní Podluží </w:t>
            </w:r>
          </w:p>
          <w:p w:rsidR="009E0F39" w:rsidRPr="009E0F39" w:rsidRDefault="009E0F39" w:rsidP="006839A2">
            <w:pPr>
              <w:pStyle w:val="Bezmezer"/>
            </w:pPr>
          </w:p>
        </w:tc>
      </w:tr>
      <w:tr w:rsidR="00E66D6D" w:rsidRPr="009E0F39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D" w:rsidRPr="009E0F39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E0F39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1" w:rsidRPr="009E0F39" w:rsidRDefault="00CE79B1" w:rsidP="006839A2">
            <w:pPr>
              <w:pStyle w:val="Bezmezer"/>
            </w:pPr>
          </w:p>
          <w:p w:rsidR="00CE79B1" w:rsidRPr="009E0F39" w:rsidRDefault="009E0F39" w:rsidP="006839A2">
            <w:pPr>
              <w:pStyle w:val="Bezmezer"/>
            </w:pPr>
            <w:r w:rsidRPr="009E0F39">
              <w:t>SDH Chřibská</w:t>
            </w:r>
            <w:r w:rsidRPr="009E0F39">
              <w:br/>
              <w:t>SDH Rumburk</w:t>
            </w:r>
            <w:r w:rsidRPr="009E0F39">
              <w:br/>
              <w:t>SDH Dolní Podluží</w:t>
            </w:r>
            <w:r w:rsidRPr="009E0F39">
              <w:br/>
              <w:t>HZS Česká Kamenice</w:t>
            </w:r>
            <w:r w:rsidRPr="009E0F39">
              <w:br/>
              <w:t>SDH Varnsdorf</w:t>
            </w:r>
            <w:r w:rsidRPr="009E0F39">
              <w:br/>
              <w:t xml:space="preserve">SDH Jiříkov </w:t>
            </w:r>
          </w:p>
          <w:p w:rsidR="009E0F39" w:rsidRPr="009E0F39" w:rsidRDefault="009E0F39" w:rsidP="006839A2">
            <w:pPr>
              <w:pStyle w:val="Bezmezer"/>
            </w:pPr>
          </w:p>
        </w:tc>
      </w:tr>
    </w:tbl>
    <w:p w:rsidR="00B15EF7" w:rsidRPr="009E0F39" w:rsidRDefault="00B15EF7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B15EF7" w:rsidRPr="009E0F39" w:rsidRDefault="00B15EF7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B15EF7" w:rsidRPr="009E0F39" w:rsidRDefault="00B15EF7" w:rsidP="006839A2">
      <w:pPr>
        <w:pStyle w:val="Bezmezer"/>
      </w:pPr>
      <w:r w:rsidRPr="009E0F39">
        <w:rPr>
          <w:color w:val="000000"/>
        </w:rPr>
        <w:t>Pro  město - obec:</w:t>
      </w:r>
      <w:r w:rsidRPr="009E0F39">
        <w:rPr>
          <w:color w:val="000000"/>
        </w:rPr>
        <w:tab/>
      </w:r>
      <w:r w:rsidRPr="009E0F39">
        <w:rPr>
          <w:color w:val="000000"/>
        </w:rPr>
        <w:tab/>
      </w:r>
      <w:r w:rsidR="009E0F39" w:rsidRPr="009E0F39">
        <w:rPr>
          <w:b/>
          <w:bCs/>
          <w:u w:val="single"/>
        </w:rPr>
        <w:t>Rybniště</w:t>
      </w:r>
    </w:p>
    <w:p w:rsidR="00B15EF7" w:rsidRPr="009E0F39" w:rsidRDefault="00B15EF7" w:rsidP="006839A2">
      <w:pPr>
        <w:pStyle w:val="Bezmezer"/>
      </w:pPr>
      <w:r w:rsidRPr="009E0F39">
        <w:tab/>
      </w:r>
      <w:r w:rsidRPr="009E0F39">
        <w:tab/>
      </w:r>
      <w:r w:rsidRPr="009E0F39">
        <w:tab/>
      </w:r>
      <w:r w:rsidRPr="009E0F39">
        <w:tab/>
      </w:r>
      <w:r w:rsidR="009E0F39" w:rsidRPr="009E0F39">
        <w:t>Nová Chřibská</w:t>
      </w:r>
    </w:p>
    <w:p w:rsidR="00B15EF7" w:rsidRPr="009E0F39" w:rsidRDefault="00B15EF7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15EF7" w:rsidRPr="009E0F39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7" w:rsidRPr="009E0F39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E0F39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7" w:rsidRPr="009E0F39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E0F39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B15EF7" w:rsidRPr="009E0F39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7" w:rsidRPr="009E0F39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E0F39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1" w:rsidRPr="009E0F39" w:rsidRDefault="00CE79B1" w:rsidP="006839A2">
            <w:pPr>
              <w:pStyle w:val="Bezmezer"/>
            </w:pPr>
          </w:p>
          <w:p w:rsidR="00CE79B1" w:rsidRPr="009E0F39" w:rsidRDefault="009E0F39" w:rsidP="006839A2">
            <w:pPr>
              <w:pStyle w:val="Bezmezer"/>
            </w:pPr>
            <w:r w:rsidRPr="009E0F39">
              <w:t>SDH Rybniště</w:t>
            </w:r>
            <w:r w:rsidRPr="009E0F39">
              <w:br/>
              <w:t>HZS Varnsdorf</w:t>
            </w:r>
            <w:r w:rsidRPr="009E0F39">
              <w:br/>
              <w:t>SDH Chřibská</w:t>
            </w:r>
            <w:r w:rsidRPr="009E0F39">
              <w:br/>
              <w:t>SDH Horní Podluží</w:t>
            </w:r>
            <w:r w:rsidR="00D75A06" w:rsidRPr="009E0F39">
              <w:t xml:space="preserve"> </w:t>
            </w:r>
          </w:p>
          <w:p w:rsidR="00D75A06" w:rsidRPr="009E0F39" w:rsidRDefault="00D75A06" w:rsidP="006839A2">
            <w:pPr>
              <w:pStyle w:val="Bezmezer"/>
            </w:pPr>
          </w:p>
        </w:tc>
      </w:tr>
      <w:tr w:rsidR="00B15EF7" w:rsidRPr="009E0F39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7" w:rsidRPr="009E0F39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9E0F39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1" w:rsidRPr="009E0F39" w:rsidRDefault="00CE79B1" w:rsidP="006839A2">
            <w:pPr>
              <w:pStyle w:val="Bezmezer"/>
            </w:pPr>
          </w:p>
          <w:p w:rsidR="00B15EF7" w:rsidRPr="009E0F39" w:rsidRDefault="009E0F39" w:rsidP="006839A2">
            <w:pPr>
              <w:pStyle w:val="Bezmezer"/>
            </w:pPr>
            <w:r w:rsidRPr="009E0F39">
              <w:t>SDH Krásná Lípa</w:t>
            </w:r>
            <w:r w:rsidRPr="009E0F39">
              <w:br/>
              <w:t>SDH Rumburk</w:t>
            </w:r>
            <w:r w:rsidRPr="009E0F39">
              <w:br/>
              <w:t>SDH Dolní Podluží</w:t>
            </w:r>
            <w:r w:rsidRPr="009E0F39">
              <w:br/>
              <w:t>SDH Varnsdorf</w:t>
            </w:r>
            <w:r w:rsidRPr="009E0F39">
              <w:br/>
              <w:t>HZS Česká Kamenice</w:t>
            </w:r>
            <w:r w:rsidRPr="009E0F39">
              <w:br/>
              <w:t>SDH Jiříkov</w:t>
            </w:r>
          </w:p>
          <w:p w:rsidR="00CE79B1" w:rsidRPr="009E0F39" w:rsidRDefault="00CE79B1" w:rsidP="006839A2">
            <w:pPr>
              <w:pStyle w:val="Bezmezer"/>
            </w:pPr>
          </w:p>
        </w:tc>
      </w:tr>
    </w:tbl>
    <w:p w:rsidR="00B15EF7" w:rsidRPr="009E0F39" w:rsidRDefault="00B15EF7" w:rsidP="006839A2">
      <w:pPr>
        <w:suppressAutoHyphens w:val="0"/>
        <w:overflowPunct/>
        <w:autoSpaceDE/>
        <w:rPr>
          <w:rFonts w:eastAsia="Calibri" w:cs="Times New Roman"/>
          <w:sz w:val="24"/>
          <w:szCs w:val="24"/>
          <w:highlight w:val="yellow"/>
        </w:rPr>
      </w:pPr>
      <w:r w:rsidRPr="009E0F39">
        <w:rPr>
          <w:rFonts w:eastAsia="Calibri" w:cs="Times New Roman"/>
          <w:sz w:val="24"/>
          <w:szCs w:val="24"/>
          <w:highlight w:val="yellow"/>
        </w:rPr>
        <w:br w:type="page"/>
      </w:r>
    </w:p>
    <w:p w:rsidR="00BC0E3C" w:rsidRPr="00D75A06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D75A06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D75A06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:rsidR="00BC0E3C" w:rsidRPr="00D75A06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:rsidR="00B85430" w:rsidRPr="00D75A06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75A06">
        <w:rPr>
          <w:rFonts w:ascii="Times New Roman" w:hAnsi="Times New Roman" w:cs="Times New Roman"/>
          <w:b/>
          <w:szCs w:val="24"/>
        </w:rPr>
        <w:t xml:space="preserve">A) 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B43F6D">
        <w:rPr>
          <w:rFonts w:ascii="Times New Roman" w:hAnsi="Times New Roman" w:cs="Times New Roman"/>
          <w:b/>
          <w:szCs w:val="24"/>
          <w:u w:val="single"/>
        </w:rPr>
        <w:t>JSDHO Rybniště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B85430" w:rsidRPr="00D75A06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D75A06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D75A06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B43F6D">
              <w:rPr>
                <w:rFonts w:ascii="Times New Roman" w:hAnsi="Times New Roman" w:cs="Times New Roman"/>
                <w:b/>
                <w:szCs w:val="24"/>
              </w:rPr>
              <w:t>JSDHO Rybniště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D75A06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B43F6D">
              <w:rPr>
                <w:rFonts w:ascii="Times New Roman" w:hAnsi="Times New Roman" w:cs="Times New Roman"/>
                <w:b/>
                <w:szCs w:val="24"/>
              </w:rPr>
              <w:t>JSDHO Rybniště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D6D" w:rsidRPr="00D75A06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D75A06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D75A06" w:rsidRDefault="00B12E8B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Rybniště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D75A06" w:rsidRDefault="00E66D6D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5A06">
              <w:rPr>
                <w:rFonts w:cs="Times New Roman"/>
                <w:sz w:val="24"/>
                <w:szCs w:val="24"/>
              </w:rPr>
              <w:t xml:space="preserve">JPO </w:t>
            </w:r>
            <w:r w:rsidR="009E0F39">
              <w:rPr>
                <w:rFonts w:cs="Times New Roman"/>
                <w:sz w:val="24"/>
                <w:szCs w:val="24"/>
              </w:rPr>
              <w:t>V.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D6D" w:rsidRPr="00D75A06" w:rsidRDefault="009E0F39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B85430" w:rsidRPr="00D75A06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75A06">
        <w:rPr>
          <w:rFonts w:ascii="Times New Roman" w:hAnsi="Times New Roman" w:cs="Times New Roman"/>
          <w:b/>
          <w:szCs w:val="24"/>
        </w:rPr>
        <w:t xml:space="preserve">B) 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B43F6D">
        <w:rPr>
          <w:rFonts w:ascii="Times New Roman" w:hAnsi="Times New Roman" w:cs="Times New Roman"/>
          <w:b/>
          <w:szCs w:val="24"/>
          <w:u w:val="single"/>
        </w:rPr>
        <w:t>JSDHO Rybniště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D75A06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430" w:rsidRPr="00D75A06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0" w:rsidRPr="00D75A06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  <w:highlight w:val="yellow"/>
              </w:rPr>
            </w:pPr>
            <w:r w:rsidRPr="009E0F39">
              <w:rPr>
                <w:rFonts w:cs="Times New Roman"/>
                <w:sz w:val="24"/>
                <w:szCs w:val="24"/>
              </w:rPr>
              <w:t>Dopravní automobil L1Z značky Ford, r. 2016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 xml:space="preserve">CAS 8 - Avia, </w:t>
            </w:r>
            <w:proofErr w:type="spellStart"/>
            <w:r w:rsidRPr="009E0F39">
              <w:rPr>
                <w:rFonts w:cs="Times New Roman"/>
                <w:sz w:val="24"/>
                <w:szCs w:val="24"/>
              </w:rPr>
              <w:t>r.p</w:t>
            </w:r>
            <w:proofErr w:type="spellEnd"/>
            <w:r w:rsidRPr="009E0F39">
              <w:rPr>
                <w:rFonts w:cs="Times New Roman"/>
                <w:sz w:val="24"/>
                <w:szCs w:val="24"/>
              </w:rPr>
              <w:t>.: 2017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>Zásahové obleky, obuv, rukavice, přilby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Soubor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>Kalová čerpadla s příslušenstvím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3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>Program D25 Basic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 xml:space="preserve">Elektrocentrála </w:t>
            </w:r>
            <w:proofErr w:type="spellStart"/>
            <w:r w:rsidRPr="009E0F39">
              <w:rPr>
                <w:rFonts w:cs="Times New Roman"/>
                <w:sz w:val="24"/>
                <w:szCs w:val="24"/>
              </w:rPr>
              <w:t>Heron</w:t>
            </w:r>
            <w:proofErr w:type="spellEnd"/>
            <w:r w:rsidRPr="009E0F39">
              <w:rPr>
                <w:rFonts w:cs="Times New Roman"/>
                <w:sz w:val="24"/>
                <w:szCs w:val="24"/>
              </w:rPr>
              <w:t xml:space="preserve"> 2,3kW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 xml:space="preserve">Elektrocentrála </w:t>
            </w:r>
            <w:proofErr w:type="spellStart"/>
            <w:r w:rsidRPr="009E0F39">
              <w:rPr>
                <w:rFonts w:cs="Times New Roman"/>
                <w:sz w:val="24"/>
                <w:szCs w:val="24"/>
              </w:rPr>
              <w:t>Pgi</w:t>
            </w:r>
            <w:proofErr w:type="spellEnd"/>
            <w:r w:rsidRPr="009E0F39">
              <w:rPr>
                <w:rFonts w:cs="Times New Roman"/>
                <w:sz w:val="24"/>
                <w:szCs w:val="24"/>
              </w:rPr>
              <w:t xml:space="preserve"> 1200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>Zásahové hadice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Soubor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 xml:space="preserve">Teleskopický žebřík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>Nastavovací žebřík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>Hasící vak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2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 xml:space="preserve">Proudnice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3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proofErr w:type="spellStart"/>
            <w:r w:rsidRPr="009E0F39">
              <w:rPr>
                <w:rFonts w:cs="Times New Roman"/>
                <w:sz w:val="24"/>
                <w:szCs w:val="24"/>
              </w:rPr>
              <w:t>Broďáky</w:t>
            </w:r>
            <w:proofErr w:type="spellEnd"/>
            <w:r w:rsidRPr="009E0F3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4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 xml:space="preserve">Radiostanice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>Soubor technických prostředků (</w:t>
            </w:r>
            <w:proofErr w:type="spellStart"/>
            <w:r w:rsidRPr="009E0F39">
              <w:rPr>
                <w:rFonts w:cs="Times New Roman"/>
                <w:sz w:val="24"/>
                <w:szCs w:val="24"/>
              </w:rPr>
              <w:t>sekyromotyky</w:t>
            </w:r>
            <w:proofErr w:type="spellEnd"/>
            <w:r w:rsidRPr="009E0F39">
              <w:rPr>
                <w:rFonts w:cs="Times New Roman"/>
                <w:sz w:val="24"/>
                <w:szCs w:val="24"/>
              </w:rPr>
              <w:t>, bourací sekyry, motorové pily a další)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Soubor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9E0F39">
              <w:rPr>
                <w:rFonts w:cs="Times New Roman"/>
                <w:sz w:val="24"/>
                <w:szCs w:val="24"/>
              </w:rPr>
              <w:t>Přenosné radiostanice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9E0F39">
              <w:rPr>
                <w:rFonts w:cs="Times New Roman"/>
                <w:sz w:val="24"/>
              </w:rPr>
              <w:t>Soubor</w:t>
            </w:r>
          </w:p>
        </w:tc>
      </w:tr>
      <w:tr w:rsidR="009E0F39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9E0F39" w:rsidRDefault="009E0F3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9E0F39" w:rsidRDefault="009E0F3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3F5" w:rsidRDefault="008733F5" w:rsidP="001F713F">
      <w:r>
        <w:separator/>
      </w:r>
    </w:p>
  </w:endnote>
  <w:endnote w:type="continuationSeparator" w:id="0">
    <w:p w:rsidR="008733F5" w:rsidRDefault="008733F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3F5" w:rsidRDefault="008733F5" w:rsidP="001F713F">
      <w:r>
        <w:separator/>
      </w:r>
    </w:p>
  </w:footnote>
  <w:footnote w:type="continuationSeparator" w:id="0">
    <w:p w:rsidR="008733F5" w:rsidRDefault="008733F5" w:rsidP="001F713F">
      <w:r>
        <w:continuationSeparator/>
      </w:r>
    </w:p>
  </w:footnote>
  <w:footnote w:id="1">
    <w:p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:rsidR="001A19E1" w:rsidRPr="007E1F5D" w:rsidRDefault="00B85430" w:rsidP="004468CE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  <w:r w:rsidR="007E1F5D">
        <w:rPr>
          <w:lang w:val="cs-CZ"/>
        </w:rPr>
        <w:t xml:space="preserve"> </w:t>
      </w:r>
      <w:r w:rsidR="007E1F5D" w:rsidRPr="007E1F5D">
        <w:rPr>
          <w:b/>
          <w:lang w:val="cs-CZ"/>
        </w:rPr>
        <w:t>rybník</w:t>
      </w:r>
      <w:r w:rsidR="007E1F5D">
        <w:rPr>
          <w:lang w:val="cs-CZ"/>
        </w:rPr>
        <w:t xml:space="preserve"> – Školní rybník – silnice na obec Rumburk 40.000 m</w:t>
      </w:r>
      <w:r w:rsidR="007E1F5D" w:rsidRPr="007E1F5D">
        <w:rPr>
          <w:vertAlign w:val="superscript"/>
          <w:lang w:val="cs-CZ"/>
        </w:rPr>
        <w:t>3</w:t>
      </w:r>
      <w:r w:rsidR="007E1F5D">
        <w:rPr>
          <w:lang w:val="cs-CZ"/>
        </w:rPr>
        <w:t xml:space="preserve"> (obec)</w:t>
      </w:r>
    </w:p>
  </w:footnote>
  <w:footnote w:id="4">
    <w:p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2280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269703">
    <w:abstractNumId w:val="4"/>
    <w:lvlOverride w:ilvl="0">
      <w:startOverride w:val="1"/>
    </w:lvlOverride>
  </w:num>
  <w:num w:numId="3" w16cid:durableId="1072778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839791">
    <w:abstractNumId w:val="3"/>
    <w:lvlOverride w:ilvl="0">
      <w:startOverride w:val="1"/>
    </w:lvlOverride>
  </w:num>
  <w:num w:numId="5" w16cid:durableId="1663582608">
    <w:abstractNumId w:val="2"/>
  </w:num>
  <w:num w:numId="6" w16cid:durableId="253325799">
    <w:abstractNumId w:val="10"/>
  </w:num>
  <w:num w:numId="7" w16cid:durableId="1226378677">
    <w:abstractNumId w:val="17"/>
  </w:num>
  <w:num w:numId="8" w16cid:durableId="208228167">
    <w:abstractNumId w:val="24"/>
  </w:num>
  <w:num w:numId="9" w16cid:durableId="1640912622">
    <w:abstractNumId w:val="23"/>
  </w:num>
  <w:num w:numId="10" w16cid:durableId="772936879">
    <w:abstractNumId w:val="8"/>
  </w:num>
  <w:num w:numId="11" w16cid:durableId="1919362774">
    <w:abstractNumId w:val="5"/>
  </w:num>
  <w:num w:numId="12" w16cid:durableId="1680229901">
    <w:abstractNumId w:val="26"/>
  </w:num>
  <w:num w:numId="13" w16cid:durableId="1506282034">
    <w:abstractNumId w:val="13"/>
  </w:num>
  <w:num w:numId="14" w16cid:durableId="1885016582">
    <w:abstractNumId w:val="15"/>
  </w:num>
  <w:num w:numId="15" w16cid:durableId="1549606531">
    <w:abstractNumId w:val="6"/>
  </w:num>
  <w:num w:numId="16" w16cid:durableId="166751896">
    <w:abstractNumId w:val="14"/>
  </w:num>
  <w:num w:numId="17" w16cid:durableId="1428427839">
    <w:abstractNumId w:val="25"/>
  </w:num>
  <w:num w:numId="18" w16cid:durableId="920215760">
    <w:abstractNumId w:val="16"/>
  </w:num>
  <w:num w:numId="19" w16cid:durableId="1636330895">
    <w:abstractNumId w:val="18"/>
  </w:num>
  <w:num w:numId="20" w16cid:durableId="1077704129">
    <w:abstractNumId w:val="7"/>
  </w:num>
  <w:num w:numId="21" w16cid:durableId="229267162">
    <w:abstractNumId w:val="27"/>
  </w:num>
  <w:num w:numId="22" w16cid:durableId="1981417409">
    <w:abstractNumId w:val="19"/>
  </w:num>
  <w:num w:numId="23" w16cid:durableId="63188815">
    <w:abstractNumId w:val="21"/>
  </w:num>
  <w:num w:numId="24" w16cid:durableId="626937066">
    <w:abstractNumId w:val="11"/>
  </w:num>
  <w:num w:numId="25" w16cid:durableId="782306787">
    <w:abstractNumId w:val="12"/>
  </w:num>
  <w:num w:numId="26" w16cid:durableId="1542014748">
    <w:abstractNumId w:val="0"/>
  </w:num>
  <w:num w:numId="27" w16cid:durableId="12471531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7523090">
    <w:abstractNumId w:val="20"/>
  </w:num>
  <w:num w:numId="29" w16cid:durableId="664167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66E46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B0EEF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9BF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115A"/>
    <w:rsid w:val="00A441CC"/>
    <w:rsid w:val="00A45CD5"/>
    <w:rsid w:val="00A5235B"/>
    <w:rsid w:val="00A601AF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2E8B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15B7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0767-EA25-43EB-8E57-56653DC7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Jaromír Chroustovský</cp:lastModifiedBy>
  <cp:revision>2</cp:revision>
  <cp:lastPrinted>2016-01-27T08:42:00Z</cp:lastPrinted>
  <dcterms:created xsi:type="dcterms:W3CDTF">2023-05-18T09:34:00Z</dcterms:created>
  <dcterms:modified xsi:type="dcterms:W3CDTF">2023-05-18T09:34:00Z</dcterms:modified>
</cp:coreProperties>
</file>