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SVS/2026/092279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6C5CACF5" w:rsidR="00616664" w:rsidRPr="0014530C" w:rsidRDefault="0014530C" w:rsidP="0014530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14530C">
        <w:rPr>
          <w:rFonts w:ascii="Arial" w:eastAsia="Calibri" w:hAnsi="Arial" w:cs="Arial"/>
        </w:rPr>
        <w:t>Krajská veterinární správa Státní veterinární správy pro Olomoucký kraj (dále též „KVS Olomouc“) jako místně a věcně příslušný správní orgán podle § 49 odst. 1 písm. c), a dále dle § 54 odst. 2 písm. a) a odst. 3 zákona č. 166/1999 Sb., o veterinární péči a o změně některých</w:t>
      </w:r>
      <w:r>
        <w:rPr>
          <w:rFonts w:ascii="Arial" w:eastAsia="Calibri" w:hAnsi="Arial" w:cs="Arial"/>
        </w:rPr>
        <w:t xml:space="preserve"> </w:t>
      </w:r>
      <w:r w:rsidRPr="0014530C">
        <w:rPr>
          <w:rFonts w:ascii="Arial" w:eastAsia="Calibri" w:hAnsi="Arial" w:cs="Arial"/>
        </w:rPr>
        <w:t>souvisejících zákonů (veterinární zákon), ve znění pozdějších předpisů, v souladu s ustanovením § 75a odst. 1</w:t>
      </w:r>
      <w:r w:rsidR="00DE7674">
        <w:rPr>
          <w:rFonts w:ascii="Arial" w:eastAsia="Calibri" w:hAnsi="Arial" w:cs="Arial"/>
        </w:rPr>
        <w:t xml:space="preserve">, </w:t>
      </w:r>
      <w:r w:rsidRPr="0014530C">
        <w:rPr>
          <w:rFonts w:ascii="Arial" w:eastAsia="Calibri" w:hAnsi="Arial" w:cs="Arial"/>
        </w:rPr>
        <w:t xml:space="preserve">2 </w:t>
      </w:r>
      <w:r w:rsidR="00DE7674">
        <w:rPr>
          <w:rFonts w:ascii="Arial" w:eastAsia="Calibri" w:hAnsi="Arial" w:cs="Arial"/>
        </w:rPr>
        <w:t xml:space="preserve">a 4 </w:t>
      </w:r>
      <w:r w:rsidRPr="0014530C">
        <w:rPr>
          <w:rFonts w:ascii="Arial" w:eastAsia="Calibri" w:hAnsi="Arial" w:cs="Arial"/>
        </w:rPr>
        <w:t>veterinárního zákona, nařízením Evropského parlamentu a Rady (EU) 2016/429 ze dne 9. března 2016 o nákazách zvířat a o změně a zrušení některých</w:t>
      </w:r>
      <w:r>
        <w:rPr>
          <w:rFonts w:ascii="Arial" w:eastAsia="Calibri" w:hAnsi="Arial" w:cs="Arial"/>
        </w:rPr>
        <w:t xml:space="preserve"> </w:t>
      </w:r>
      <w:r w:rsidRPr="0014530C">
        <w:rPr>
          <w:rFonts w:ascii="Arial" w:eastAsia="Calibri" w:hAnsi="Arial" w:cs="Arial"/>
        </w:rPr>
        <w:t xml:space="preserve">aktů v oblasti zdraví zvířat (dále jen „právní rámec pro zdraví zvířat“ nebo „AHL“),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</w:t>
      </w:r>
      <w:r w:rsidRPr="0014530C">
        <w:rPr>
          <w:rFonts w:ascii="Arial" w:eastAsia="Calibri" w:hAnsi="Arial" w:cs="Arial"/>
          <w:b/>
          <w:bCs/>
        </w:rPr>
        <w:t>rozhodla takto: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8627558" w14:textId="724EC87F" w:rsidR="00616664" w:rsidRPr="0014530C" w:rsidRDefault="0014530C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14530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Ukončení mimořádných veterinárních opatření</w:t>
      </w:r>
    </w:p>
    <w:p w14:paraId="543C97C5" w14:textId="306C513F" w:rsidR="00616664" w:rsidRPr="00AB1E28" w:rsidRDefault="0014530C" w:rsidP="0014530C">
      <w:pPr>
        <w:spacing w:before="120" w:after="0" w:line="240" w:lineRule="auto"/>
        <w:ind w:firstLine="652"/>
        <w:jc w:val="both"/>
        <w:rPr>
          <w:rFonts w:ascii="Arial" w:eastAsia="Times New Roman" w:hAnsi="Arial" w:cs="Times New Roman"/>
          <w:lang w:eastAsia="cs-CZ"/>
        </w:rPr>
      </w:pPr>
      <w:r w:rsidRPr="0014530C">
        <w:rPr>
          <w:rFonts w:ascii="Arial" w:eastAsia="Times New Roman" w:hAnsi="Arial" w:cs="Times New Roman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lang w:eastAsia="cs-CZ"/>
        </w:rPr>
        <w:t>0</w:t>
      </w:r>
      <w:r w:rsidRPr="0014530C">
        <w:rPr>
          <w:rFonts w:ascii="Arial" w:eastAsia="Times New Roman" w:hAnsi="Arial" w:cs="Times New Roman"/>
          <w:lang w:eastAsia="cs-CZ"/>
        </w:rPr>
        <w:t>5. 0</w:t>
      </w:r>
      <w:r>
        <w:rPr>
          <w:rFonts w:ascii="Arial" w:eastAsia="Times New Roman" w:hAnsi="Arial" w:cs="Times New Roman"/>
          <w:lang w:eastAsia="cs-CZ"/>
        </w:rPr>
        <w:t>5</w:t>
      </w:r>
      <w:r w:rsidRPr="0014530C">
        <w:rPr>
          <w:rFonts w:ascii="Arial" w:eastAsia="Times New Roman" w:hAnsi="Arial" w:cs="Times New Roman"/>
          <w:lang w:eastAsia="cs-CZ"/>
        </w:rPr>
        <w:t xml:space="preserve">. 2026 Nařízením Státní veterinární správy pod č. j. </w:t>
      </w:r>
      <w:r>
        <w:rPr>
          <w:rFonts w:ascii="Arial" w:eastAsia="Times New Roman" w:hAnsi="Arial" w:cs="Times New Roman"/>
          <w:lang w:eastAsia="cs-CZ"/>
        </w:rPr>
        <w:t>S</w:t>
      </w:r>
      <w:r w:rsidRPr="0014530C">
        <w:rPr>
          <w:rFonts w:ascii="Arial" w:eastAsia="Times New Roman" w:hAnsi="Arial" w:cs="Times New Roman"/>
          <w:lang w:eastAsia="cs-CZ"/>
        </w:rPr>
        <w:t>VS/2026/076356 s následným změnovým Nařízením č.j. SVS/2026/0</w:t>
      </w:r>
      <w:r>
        <w:rPr>
          <w:rFonts w:ascii="Arial" w:eastAsia="Times New Roman" w:hAnsi="Arial" w:cs="Times New Roman"/>
          <w:lang w:eastAsia="cs-CZ"/>
        </w:rPr>
        <w:t>87569</w:t>
      </w:r>
      <w:r w:rsidRPr="0014530C">
        <w:rPr>
          <w:rFonts w:ascii="Arial" w:eastAsia="Times New Roman" w:hAnsi="Arial" w:cs="Times New Roman"/>
          <w:lang w:eastAsia="cs-CZ"/>
        </w:rPr>
        <w:t xml:space="preserve"> ze dne </w:t>
      </w:r>
      <w:r>
        <w:rPr>
          <w:rFonts w:ascii="Arial" w:eastAsia="Times New Roman" w:hAnsi="Arial" w:cs="Times New Roman"/>
          <w:lang w:eastAsia="cs-CZ"/>
        </w:rPr>
        <w:t>25</w:t>
      </w:r>
      <w:r w:rsidRPr="0014530C">
        <w:rPr>
          <w:rFonts w:ascii="Arial" w:eastAsia="Times New Roman" w:hAnsi="Arial" w:cs="Times New Roman"/>
          <w:lang w:eastAsia="cs-CZ"/>
        </w:rPr>
        <w:t>. 05. 2026, vydaná v souvislosti s výskytem nebezpečné nákazy – newcast</w:t>
      </w:r>
      <w:r w:rsidR="00DE7674">
        <w:rPr>
          <w:rFonts w:ascii="Arial" w:eastAsia="Times New Roman" w:hAnsi="Arial" w:cs="Times New Roman"/>
          <w:lang w:eastAsia="cs-CZ"/>
        </w:rPr>
        <w:t>e</w:t>
      </w:r>
      <w:r w:rsidRPr="0014530C">
        <w:rPr>
          <w:rFonts w:ascii="Arial" w:eastAsia="Times New Roman" w:hAnsi="Arial" w:cs="Times New Roman"/>
          <w:lang w:eastAsia="cs-CZ"/>
        </w:rPr>
        <w:t>lské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14530C">
        <w:rPr>
          <w:rFonts w:ascii="Arial" w:eastAsia="Times New Roman" w:hAnsi="Arial" w:cs="Times New Roman"/>
          <w:lang w:eastAsia="cs-CZ"/>
        </w:rPr>
        <w:t xml:space="preserve">choroby drůbeže – v chovu ptáků chovaných v zajetí s počtem kusů větší než 50 v katastrálním území </w:t>
      </w:r>
      <w:r>
        <w:rPr>
          <w:rFonts w:ascii="Arial" w:eastAsia="Times New Roman" w:hAnsi="Arial" w:cs="Times New Roman"/>
          <w:lang w:eastAsia="cs-CZ"/>
        </w:rPr>
        <w:t>Podhradní Lhota</w:t>
      </w:r>
      <w:r w:rsidRPr="0014530C">
        <w:rPr>
          <w:rFonts w:ascii="Arial" w:eastAsia="Times New Roman" w:hAnsi="Arial" w:cs="Times New Roman"/>
          <w:lang w:eastAsia="cs-CZ"/>
        </w:rPr>
        <w:t xml:space="preserve"> (</w:t>
      </w:r>
      <w:r>
        <w:rPr>
          <w:rFonts w:ascii="Arial" w:eastAsia="Times New Roman" w:hAnsi="Arial" w:cs="Times New Roman"/>
          <w:lang w:eastAsia="cs-CZ"/>
        </w:rPr>
        <w:t>723797</w:t>
      </w:r>
      <w:r w:rsidRPr="0014530C">
        <w:rPr>
          <w:rFonts w:ascii="Arial" w:eastAsia="Times New Roman" w:hAnsi="Arial" w:cs="Times New Roman"/>
          <w:lang w:eastAsia="cs-CZ"/>
        </w:rPr>
        <w:t xml:space="preserve">), okres </w:t>
      </w:r>
      <w:r>
        <w:rPr>
          <w:rFonts w:ascii="Arial" w:eastAsia="Times New Roman" w:hAnsi="Arial" w:cs="Times New Roman"/>
          <w:lang w:eastAsia="cs-CZ"/>
        </w:rPr>
        <w:t>Kroměříž</w:t>
      </w:r>
      <w:r w:rsidRPr="0014530C">
        <w:rPr>
          <w:rFonts w:ascii="Arial" w:eastAsia="Times New Roman" w:hAnsi="Arial" w:cs="Times New Roman"/>
          <w:lang w:eastAsia="cs-CZ"/>
        </w:rPr>
        <w:t xml:space="preserve"> v</w:t>
      </w:r>
      <w:r>
        <w:rPr>
          <w:rFonts w:ascii="Arial" w:eastAsia="Times New Roman" w:hAnsi="Arial" w:cs="Times New Roman"/>
          <w:lang w:eastAsia="cs-CZ"/>
        </w:rPr>
        <w:t>e</w:t>
      </w:r>
      <w:r w:rsidRPr="0014530C">
        <w:rPr>
          <w:rFonts w:ascii="Arial" w:eastAsia="Times New Roman" w:hAnsi="Arial" w:cs="Times New Roman"/>
          <w:lang w:eastAsia="cs-CZ"/>
        </w:rPr>
        <w:t xml:space="preserve"> </w:t>
      </w:r>
      <w:r>
        <w:rPr>
          <w:rFonts w:ascii="Arial" w:eastAsia="Times New Roman" w:hAnsi="Arial" w:cs="Times New Roman"/>
          <w:lang w:eastAsia="cs-CZ"/>
        </w:rPr>
        <w:t xml:space="preserve">Zlínském </w:t>
      </w:r>
      <w:r w:rsidRPr="0014530C">
        <w:rPr>
          <w:rFonts w:ascii="Arial" w:eastAsia="Times New Roman" w:hAnsi="Arial" w:cs="Times New Roman"/>
          <w:lang w:eastAsia="cs-CZ"/>
        </w:rPr>
        <w:t>kraji</w:t>
      </w:r>
      <w:r>
        <w:rPr>
          <w:rFonts w:ascii="Arial" w:eastAsia="Times New Roman" w:hAnsi="Arial" w:cs="Times New Roman"/>
          <w:lang w:eastAsia="cs-CZ"/>
        </w:rPr>
        <w:t xml:space="preserve"> s přesahem uzavřeného pásma do Olomouckého kraje</w:t>
      </w:r>
      <w:r w:rsidRPr="0014530C">
        <w:rPr>
          <w:rFonts w:ascii="Arial" w:eastAsia="Times New Roman" w:hAnsi="Arial" w:cs="Times New Roman"/>
          <w:lang w:eastAsia="cs-CZ"/>
        </w:rPr>
        <w:t xml:space="preserve">, </w:t>
      </w:r>
      <w:r w:rsidRPr="0014530C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14530C">
        <w:rPr>
          <w:rFonts w:ascii="Arial" w:eastAsia="Times New Roman" w:hAnsi="Arial" w:cs="Times New Roman"/>
          <w:lang w:eastAsia="cs-CZ"/>
        </w:rPr>
        <w:t>.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DEEB7C" w14:textId="7FD66269" w:rsidR="00616664" w:rsidRPr="0014530C" w:rsidRDefault="0014530C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14530C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EFCDCB9" w14:textId="5D9E4B3B" w:rsidR="00616664" w:rsidRPr="00AB1E28" w:rsidRDefault="0014530C" w:rsidP="0014530C">
      <w:pPr>
        <w:spacing w:before="120" w:after="0" w:line="240" w:lineRule="auto"/>
        <w:ind w:firstLine="652"/>
        <w:jc w:val="both"/>
        <w:rPr>
          <w:rFonts w:ascii="Arial" w:eastAsia="Times New Roman" w:hAnsi="Arial" w:cs="Times New Roman"/>
          <w:lang w:eastAsia="cs-CZ"/>
        </w:rPr>
      </w:pPr>
      <w:r w:rsidRPr="0014530C">
        <w:rPr>
          <w:rFonts w:ascii="Arial" w:eastAsia="Times New Roman" w:hAnsi="Arial" w:cs="Times New Roman"/>
          <w:lang w:eastAsia="cs-CZ"/>
        </w:rPr>
        <w:t>Zrušuje se nařízení Státní veterinární správy č. j. SVS/2026/0</w:t>
      </w:r>
      <w:r>
        <w:rPr>
          <w:rFonts w:ascii="Arial" w:eastAsia="Times New Roman" w:hAnsi="Arial" w:cs="Times New Roman"/>
          <w:lang w:eastAsia="cs-CZ"/>
        </w:rPr>
        <w:t>76356</w:t>
      </w:r>
      <w:r w:rsidRPr="0014530C">
        <w:rPr>
          <w:rFonts w:ascii="Arial" w:eastAsia="Times New Roman" w:hAnsi="Arial" w:cs="Times New Roman"/>
          <w:lang w:eastAsia="cs-CZ"/>
        </w:rPr>
        <w:t xml:space="preserve"> ze dne </w:t>
      </w:r>
      <w:r>
        <w:rPr>
          <w:rFonts w:ascii="Arial" w:eastAsia="Times New Roman" w:hAnsi="Arial" w:cs="Times New Roman"/>
          <w:lang w:eastAsia="cs-CZ"/>
        </w:rPr>
        <w:t>0</w:t>
      </w:r>
      <w:r w:rsidRPr="0014530C">
        <w:rPr>
          <w:rFonts w:ascii="Arial" w:eastAsia="Times New Roman" w:hAnsi="Arial" w:cs="Times New Roman"/>
          <w:lang w:eastAsia="cs-CZ"/>
        </w:rPr>
        <w:t>5. 0</w:t>
      </w:r>
      <w:r>
        <w:rPr>
          <w:rFonts w:ascii="Arial" w:eastAsia="Times New Roman" w:hAnsi="Arial" w:cs="Times New Roman"/>
          <w:lang w:eastAsia="cs-CZ"/>
        </w:rPr>
        <w:t>5</w:t>
      </w:r>
      <w:r w:rsidRPr="0014530C">
        <w:rPr>
          <w:rFonts w:ascii="Arial" w:eastAsia="Times New Roman" w:hAnsi="Arial" w:cs="Times New Roman"/>
          <w:lang w:eastAsia="cs-CZ"/>
        </w:rPr>
        <w:t>. 2026 s následným změnovým Nařízením č.j. SVS/2026/0</w:t>
      </w:r>
      <w:r>
        <w:rPr>
          <w:rFonts w:ascii="Arial" w:eastAsia="Times New Roman" w:hAnsi="Arial" w:cs="Times New Roman"/>
          <w:lang w:eastAsia="cs-CZ"/>
        </w:rPr>
        <w:t>87569</w:t>
      </w:r>
      <w:r w:rsidRPr="0014530C">
        <w:rPr>
          <w:rFonts w:ascii="Arial" w:eastAsia="Times New Roman" w:hAnsi="Arial" w:cs="Times New Roman"/>
          <w:lang w:eastAsia="cs-CZ"/>
        </w:rPr>
        <w:t xml:space="preserve"> ze dne </w:t>
      </w:r>
      <w:r>
        <w:rPr>
          <w:rFonts w:ascii="Arial" w:eastAsia="Times New Roman" w:hAnsi="Arial" w:cs="Times New Roman"/>
          <w:lang w:eastAsia="cs-CZ"/>
        </w:rPr>
        <w:t>25</w:t>
      </w:r>
      <w:r w:rsidRPr="0014530C">
        <w:rPr>
          <w:rFonts w:ascii="Arial" w:eastAsia="Times New Roman" w:hAnsi="Arial" w:cs="Times New Roman"/>
          <w:lang w:eastAsia="cs-CZ"/>
        </w:rPr>
        <w:t>. 05. 2026.</w:t>
      </w:r>
    </w:p>
    <w:p w14:paraId="21848429" w14:textId="2FB29ADE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0738E8FC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14530C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24D199BE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14530C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4530C">
            <w:rPr>
              <w:rFonts w:ascii="Arial" w:hAnsi="Arial" w:cs="Arial"/>
            </w:rPr>
            <w:t>03.06.2026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E831A3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E831A3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77777777" w:rsidR="00850D2F" w:rsidRDefault="00850D2F" w:rsidP="0014530C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Arial" w:hAnsi="Arial" w:cs="Arial"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32A7F5DB" w14:textId="683255E5" w:rsidR="00600B23" w:rsidRPr="00850D2F" w:rsidRDefault="00600B23" w:rsidP="0014530C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zastoupení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0951DDD6" w14:textId="77777777" w:rsidR="0014530C" w:rsidRPr="0014530C" w:rsidRDefault="0014530C" w:rsidP="0014530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14530C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Olomouckého kraje, Jeremenkova 1056, 779 00 Olomouc</w:t>
          </w:r>
        </w:p>
        <w:p w14:paraId="24B807ED" w14:textId="77777777" w:rsidR="0014530C" w:rsidRPr="0014530C" w:rsidRDefault="0014530C" w:rsidP="0014530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14530C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Hasičský záchranný sbor Olomouckého kraje, Schweitzerova 91, 779 00 Olomouc </w:t>
          </w:r>
        </w:p>
        <w:p w14:paraId="4314D6E1" w14:textId="77777777" w:rsidR="0014530C" w:rsidRPr="0014530C" w:rsidRDefault="0014530C" w:rsidP="0014530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14530C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Krajské ředitelství policie Olomouckého kraje, tř. Kosmonautů 189/10, 779 00 Olomouc </w:t>
          </w:r>
        </w:p>
        <w:p w14:paraId="5FB0C16E" w14:textId="11845008" w:rsidR="00616664" w:rsidRDefault="0014530C" w:rsidP="0014530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14530C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Krajská hygienická stanice Olomouckého kraje Wolkerova 74/6, 779 00 Olomouc</w:t>
          </w:r>
        </w:p>
        <w:p w14:paraId="6193417F" w14:textId="77777777" w:rsidR="0014530C" w:rsidRDefault="0014530C" w:rsidP="0014530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  <w:p w14:paraId="51E232A6" w14:textId="06BEB729" w:rsidR="0014530C" w:rsidRPr="0014530C" w:rsidRDefault="0014530C" w:rsidP="0014530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</w:pPr>
          <w:r w:rsidRPr="0014530C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>Obc</w:t>
          </w:r>
          <w:r w:rsidR="00E86EC7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>e</w:t>
          </w:r>
          <w:r w:rsidRPr="0014530C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 xml:space="preserve"> s rozšířenou působností:</w:t>
          </w:r>
        </w:p>
        <w:p w14:paraId="25B5A8D4" w14:textId="0C0F1A00" w:rsidR="0014530C" w:rsidRDefault="00E86EC7" w:rsidP="0014530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E86EC7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Hranice; Lipník nad Bečvou; Přerov</w:t>
          </w:r>
        </w:p>
        <w:p w14:paraId="53B21E22" w14:textId="77777777" w:rsidR="00E86EC7" w:rsidRDefault="00E86EC7" w:rsidP="0014530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  <w:p w14:paraId="2563B908" w14:textId="4E0AE741" w:rsidR="00E86EC7" w:rsidRPr="00E86EC7" w:rsidRDefault="00E86EC7" w:rsidP="0014530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</w:pPr>
          <w:r w:rsidRPr="00E86EC7">
            <w:rPr>
              <w:rFonts w:ascii="Arial" w:eastAsia="Calibri" w:hAnsi="Arial" w:cs="Times New Roman"/>
              <w:b/>
              <w:bCs/>
              <w:color w:val="000000" w:themeColor="text1"/>
              <w:sz w:val="20"/>
              <w:szCs w:val="20"/>
            </w:rPr>
            <w:t>Obecní úřady obcí:</w:t>
          </w:r>
        </w:p>
        <w:p w14:paraId="794A68A3" w14:textId="2B3C527F" w:rsidR="00E86EC7" w:rsidRPr="00C01D55" w:rsidRDefault="00E86EC7" w:rsidP="00E86EC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E86EC7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Býškovice; Dolní Nětčice; Dolní Těšice; Horní Nětčice; Horní Těšice; Horní Újezd; Malhotice; Opatovice;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</w:t>
          </w:r>
          <w:r w:rsidRPr="00E86EC7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Paršovice; Provodovice; Rakov; Rouské; Skalička; Ústí; Všechovice; Zámrsky; Žákovice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E831A3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01B7" w14:textId="77777777" w:rsidR="00E831A3" w:rsidRDefault="00E831A3" w:rsidP="00461078">
      <w:pPr>
        <w:spacing w:after="0" w:line="240" w:lineRule="auto"/>
      </w:pPr>
      <w:r>
        <w:separator/>
      </w:r>
    </w:p>
  </w:endnote>
  <w:endnote w:type="continuationSeparator" w:id="0">
    <w:p w14:paraId="2D43569A" w14:textId="77777777" w:rsidR="00E831A3" w:rsidRDefault="00E831A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0586" w14:textId="77777777" w:rsidR="00E831A3" w:rsidRDefault="00E831A3" w:rsidP="00461078">
      <w:pPr>
        <w:spacing w:after="0" w:line="240" w:lineRule="auto"/>
      </w:pPr>
      <w:r>
        <w:separator/>
      </w:r>
    </w:p>
  </w:footnote>
  <w:footnote w:type="continuationSeparator" w:id="0">
    <w:p w14:paraId="673E656D" w14:textId="77777777" w:rsidR="00E831A3" w:rsidRDefault="00E831A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D0FE6"/>
    <w:rsid w:val="000E1036"/>
    <w:rsid w:val="0014530C"/>
    <w:rsid w:val="001822C0"/>
    <w:rsid w:val="00256328"/>
    <w:rsid w:val="00312826"/>
    <w:rsid w:val="00327CC9"/>
    <w:rsid w:val="00362F56"/>
    <w:rsid w:val="00461078"/>
    <w:rsid w:val="005C7F68"/>
    <w:rsid w:val="00600B23"/>
    <w:rsid w:val="00616664"/>
    <w:rsid w:val="00661489"/>
    <w:rsid w:val="0073383E"/>
    <w:rsid w:val="00740498"/>
    <w:rsid w:val="007B6A92"/>
    <w:rsid w:val="00850D2F"/>
    <w:rsid w:val="008B14AB"/>
    <w:rsid w:val="009066E7"/>
    <w:rsid w:val="009C2AE6"/>
    <w:rsid w:val="009D7D39"/>
    <w:rsid w:val="00A65CA1"/>
    <w:rsid w:val="00AB1E28"/>
    <w:rsid w:val="00BB5C31"/>
    <w:rsid w:val="00DC4873"/>
    <w:rsid w:val="00DE7674"/>
    <w:rsid w:val="00E0754C"/>
    <w:rsid w:val="00E831A3"/>
    <w:rsid w:val="00E86EC7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27CC9"/>
    <w:rsid w:val="003A5764"/>
    <w:rsid w:val="005C7F68"/>
    <w:rsid w:val="005E611E"/>
    <w:rsid w:val="006B1001"/>
    <w:rsid w:val="00702975"/>
    <w:rsid w:val="008B14AB"/>
    <w:rsid w:val="009D7D39"/>
    <w:rsid w:val="00A65CA1"/>
    <w:rsid w:val="00AB5359"/>
    <w:rsid w:val="00B31892"/>
    <w:rsid w:val="00DF0133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2875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2026-06-03T07:05:00Z</dcterms:created>
  <dcterms:modified xsi:type="dcterms:W3CDTF">2026-06-03T07:05:00Z</dcterms:modified>
</cp:coreProperties>
</file>