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1EF" w:rsidRPr="00D8190A" w:rsidRDefault="00D831EF" w:rsidP="00D831EF">
      <w:pPr>
        <w:pStyle w:val="Nzev"/>
        <w:rPr>
          <w:rFonts w:ascii="Arial" w:hAnsi="Arial" w:cs="Arial"/>
          <w:b/>
          <w:bCs/>
          <w:sz w:val="22"/>
          <w:szCs w:val="22"/>
        </w:rPr>
      </w:pPr>
    </w:p>
    <w:p w:rsidR="00D831EF" w:rsidRPr="00D8190A" w:rsidRDefault="00D831EF" w:rsidP="00D831EF">
      <w:pPr>
        <w:pStyle w:val="Nzev"/>
        <w:rPr>
          <w:rFonts w:ascii="Arial" w:hAnsi="Arial" w:cs="Arial"/>
          <w:b/>
          <w:bCs/>
          <w:sz w:val="40"/>
          <w:szCs w:val="40"/>
        </w:rPr>
      </w:pPr>
      <w:proofErr w:type="gramStart"/>
      <w:r w:rsidRPr="00D8190A">
        <w:rPr>
          <w:rFonts w:ascii="Arial" w:hAnsi="Arial" w:cs="Arial"/>
          <w:b/>
          <w:bCs/>
          <w:sz w:val="40"/>
          <w:szCs w:val="40"/>
        </w:rPr>
        <w:t>Obec   Věšín</w:t>
      </w:r>
      <w:proofErr w:type="gramEnd"/>
    </w:p>
    <w:p w:rsidR="00D831EF" w:rsidRPr="00D8190A" w:rsidRDefault="00D831EF" w:rsidP="00D831EF">
      <w:pPr>
        <w:pStyle w:val="Nzev"/>
        <w:rPr>
          <w:rFonts w:ascii="Arial" w:hAnsi="Arial" w:cs="Arial"/>
        </w:rPr>
      </w:pPr>
    </w:p>
    <w:p w:rsidR="00D831EF" w:rsidRPr="00D8190A" w:rsidRDefault="00D831EF" w:rsidP="00D831EF">
      <w:pPr>
        <w:jc w:val="center"/>
        <w:rPr>
          <w:rFonts w:ascii="Arial" w:hAnsi="Arial" w:cs="Arial"/>
        </w:rPr>
      </w:pPr>
      <w:r w:rsidRPr="00D8190A">
        <w:rPr>
          <w:rFonts w:ascii="Arial" w:hAnsi="Arial" w:cs="Arial"/>
        </w:rPr>
        <w:t> </w:t>
      </w:r>
    </w:p>
    <w:p w:rsidR="00D831EF" w:rsidRPr="00D8190A" w:rsidRDefault="00D831EF" w:rsidP="00D831EF">
      <w:pPr>
        <w:jc w:val="center"/>
        <w:rPr>
          <w:rFonts w:ascii="Arial" w:hAnsi="Arial" w:cs="Arial"/>
        </w:rPr>
      </w:pPr>
    </w:p>
    <w:p w:rsidR="00D831EF" w:rsidRPr="00D8190A" w:rsidRDefault="00D831EF" w:rsidP="00D831EF">
      <w:pPr>
        <w:jc w:val="center"/>
        <w:rPr>
          <w:rFonts w:ascii="Arial" w:hAnsi="Arial" w:cs="Arial"/>
          <w:b/>
          <w:bCs/>
        </w:rPr>
      </w:pPr>
      <w:r w:rsidRPr="00D8190A">
        <w:rPr>
          <w:rFonts w:ascii="Arial" w:hAnsi="Arial" w:cs="Arial"/>
          <w:b/>
          <w:bCs/>
        </w:rPr>
        <w:t>Obecně závazná vyhláška</w:t>
      </w:r>
    </w:p>
    <w:p w:rsidR="00D831EF" w:rsidRPr="00D8190A" w:rsidRDefault="00D831EF" w:rsidP="00D831EF">
      <w:pPr>
        <w:jc w:val="center"/>
        <w:rPr>
          <w:rFonts w:ascii="Arial" w:hAnsi="Arial" w:cs="Arial"/>
          <w:b/>
          <w:bCs/>
        </w:rPr>
      </w:pPr>
      <w:r w:rsidRPr="00D8190A">
        <w:rPr>
          <w:rFonts w:ascii="Arial" w:hAnsi="Arial" w:cs="Arial"/>
          <w:b/>
          <w:bCs/>
        </w:rPr>
        <w:t>č. 1/2019</w:t>
      </w:r>
    </w:p>
    <w:p w:rsidR="00D831EF" w:rsidRPr="00D8190A" w:rsidRDefault="00D831EF" w:rsidP="00D831EF">
      <w:pPr>
        <w:jc w:val="center"/>
        <w:rPr>
          <w:rFonts w:ascii="Arial" w:hAnsi="Arial" w:cs="Arial"/>
          <w:b/>
          <w:bCs/>
        </w:rPr>
      </w:pPr>
    </w:p>
    <w:p w:rsidR="00D831EF" w:rsidRPr="00D8190A" w:rsidRDefault="00D831EF" w:rsidP="00D831EF">
      <w:pPr>
        <w:jc w:val="center"/>
        <w:rPr>
          <w:rFonts w:ascii="Arial" w:hAnsi="Arial" w:cs="Arial"/>
        </w:rPr>
      </w:pPr>
      <w:r w:rsidRPr="00D8190A">
        <w:rPr>
          <w:rFonts w:ascii="Arial" w:hAnsi="Arial" w:cs="Arial"/>
          <w:b/>
          <w:bCs/>
        </w:rPr>
        <w:t>o stanovení koeficientu pro výpočet daně z nemovitostí</w:t>
      </w:r>
    </w:p>
    <w:p w:rsidR="00D831EF" w:rsidRPr="00D8190A" w:rsidRDefault="00D831EF" w:rsidP="00D831EF">
      <w:pPr>
        <w:jc w:val="center"/>
        <w:rPr>
          <w:rFonts w:ascii="Arial" w:hAnsi="Arial" w:cs="Arial"/>
        </w:rPr>
      </w:pPr>
      <w:r w:rsidRPr="00D8190A">
        <w:rPr>
          <w:rFonts w:ascii="Arial" w:hAnsi="Arial" w:cs="Arial"/>
        </w:rPr>
        <w:t> </w:t>
      </w:r>
    </w:p>
    <w:p w:rsidR="00D831EF" w:rsidRPr="00D8190A" w:rsidRDefault="00D831EF" w:rsidP="00D831EF">
      <w:pPr>
        <w:jc w:val="center"/>
        <w:rPr>
          <w:rFonts w:ascii="Arial" w:hAnsi="Arial" w:cs="Arial"/>
        </w:rPr>
      </w:pPr>
      <w:r w:rsidRPr="00D8190A">
        <w:rPr>
          <w:rFonts w:ascii="Arial" w:hAnsi="Arial" w:cs="Arial"/>
        </w:rPr>
        <w:t> </w:t>
      </w:r>
    </w:p>
    <w:p w:rsidR="00D831EF" w:rsidRPr="00D8190A" w:rsidRDefault="00D831EF" w:rsidP="00D831EF">
      <w:pPr>
        <w:pStyle w:val="Zkladntext"/>
        <w:rPr>
          <w:rFonts w:ascii="Arial" w:hAnsi="Arial" w:cs="Arial"/>
        </w:rPr>
      </w:pPr>
      <w:r w:rsidRPr="00D8190A">
        <w:rPr>
          <w:rFonts w:ascii="Arial" w:hAnsi="Arial" w:cs="Arial"/>
        </w:rPr>
        <w:t xml:space="preserve">    Zastupitelstvo obce Věšín schválilo na svém zasedání dne 4.9.2019 usnesením č. </w:t>
      </w:r>
      <w:r w:rsidR="00B43633" w:rsidRPr="00D8190A">
        <w:rPr>
          <w:rFonts w:ascii="Arial" w:hAnsi="Arial" w:cs="Arial"/>
        </w:rPr>
        <w:t>10/</w:t>
      </w:r>
      <w:r w:rsidRPr="00D8190A">
        <w:rPr>
          <w:rFonts w:ascii="Arial" w:hAnsi="Arial" w:cs="Arial"/>
        </w:rPr>
        <w:t>2019</w:t>
      </w:r>
      <w:r w:rsidR="00B43633" w:rsidRPr="00D8190A">
        <w:rPr>
          <w:rFonts w:ascii="Arial" w:hAnsi="Arial" w:cs="Arial"/>
        </w:rPr>
        <w:t>/6</w:t>
      </w:r>
      <w:r w:rsidRPr="00D8190A">
        <w:rPr>
          <w:rFonts w:ascii="Arial" w:hAnsi="Arial" w:cs="Arial"/>
        </w:rPr>
        <w:t xml:space="preserve"> v souladu s § 6 odst. 4 písm. b), ! 11 odst. 1 písm. a) a f) a § 11 </w:t>
      </w:r>
      <w:proofErr w:type="gramStart"/>
      <w:r w:rsidRPr="00D8190A">
        <w:rPr>
          <w:rFonts w:ascii="Arial" w:hAnsi="Arial" w:cs="Arial"/>
        </w:rPr>
        <w:t>odst.3 písm.</w:t>
      </w:r>
      <w:proofErr w:type="gramEnd"/>
      <w:r w:rsidRPr="00D8190A">
        <w:rPr>
          <w:rFonts w:ascii="Arial" w:hAnsi="Arial" w:cs="Arial"/>
        </w:rPr>
        <w:t xml:space="preserve"> b) zákona č. 338/1992 Sb., o dani z nemovitosti v platném znění a v souladu s ustanovením § 10 a § 84 odst. 2 písm. h) zákona č. 128/2000 Sb., o obcích ( obecní zřízení ), ve znění pozdějších předpisů, tuto obecně závaznou vyhlášku.</w:t>
      </w:r>
    </w:p>
    <w:p w:rsidR="00D831EF" w:rsidRDefault="00D831EF" w:rsidP="00D831EF">
      <w:pPr>
        <w:jc w:val="both"/>
        <w:rPr>
          <w:rFonts w:ascii="Arial" w:hAnsi="Arial" w:cs="Arial"/>
        </w:rPr>
      </w:pPr>
      <w:r w:rsidRPr="00D8190A">
        <w:rPr>
          <w:rFonts w:ascii="Arial" w:hAnsi="Arial" w:cs="Arial"/>
        </w:rPr>
        <w:t> </w:t>
      </w:r>
    </w:p>
    <w:p w:rsidR="00D8190A" w:rsidRPr="00D8190A" w:rsidRDefault="00D8190A" w:rsidP="00D831EF">
      <w:pPr>
        <w:jc w:val="both"/>
        <w:rPr>
          <w:rFonts w:ascii="Arial" w:hAnsi="Arial" w:cs="Arial"/>
        </w:rPr>
      </w:pPr>
    </w:p>
    <w:p w:rsidR="00D831EF" w:rsidRPr="00D8190A" w:rsidRDefault="00D831EF" w:rsidP="00D831EF">
      <w:pPr>
        <w:jc w:val="both"/>
        <w:rPr>
          <w:rFonts w:ascii="Arial" w:hAnsi="Arial" w:cs="Arial"/>
        </w:rPr>
      </w:pPr>
    </w:p>
    <w:p w:rsidR="00D831EF" w:rsidRPr="00D8190A" w:rsidRDefault="00D831EF" w:rsidP="00D831EF">
      <w:pPr>
        <w:jc w:val="center"/>
        <w:rPr>
          <w:rFonts w:ascii="Arial" w:hAnsi="Arial" w:cs="Arial"/>
        </w:rPr>
      </w:pPr>
      <w:r w:rsidRPr="00D8190A">
        <w:rPr>
          <w:rFonts w:ascii="Arial" w:hAnsi="Arial" w:cs="Arial"/>
        </w:rPr>
        <w:t>Čl. 1</w:t>
      </w:r>
    </w:p>
    <w:p w:rsidR="00D831EF" w:rsidRPr="00D8190A" w:rsidRDefault="00D831EF" w:rsidP="00D831EF">
      <w:pPr>
        <w:jc w:val="center"/>
        <w:rPr>
          <w:rFonts w:ascii="Arial" w:hAnsi="Arial" w:cs="Arial"/>
        </w:rPr>
      </w:pPr>
      <w:r w:rsidRPr="00D8190A">
        <w:rPr>
          <w:rFonts w:ascii="Arial" w:hAnsi="Arial" w:cs="Arial"/>
        </w:rPr>
        <w:t>Daň z pozemků</w:t>
      </w:r>
    </w:p>
    <w:p w:rsidR="00D831EF" w:rsidRPr="00D8190A" w:rsidRDefault="00D831EF" w:rsidP="00D831EF">
      <w:pPr>
        <w:jc w:val="center"/>
        <w:rPr>
          <w:rFonts w:ascii="Arial" w:hAnsi="Arial" w:cs="Arial"/>
        </w:rPr>
      </w:pPr>
      <w:r w:rsidRPr="00D8190A">
        <w:rPr>
          <w:rFonts w:ascii="Arial" w:hAnsi="Arial" w:cs="Arial"/>
        </w:rPr>
        <w:t> </w:t>
      </w:r>
    </w:p>
    <w:p w:rsidR="00D831EF" w:rsidRPr="00D8190A" w:rsidRDefault="00D831EF" w:rsidP="00D831EF">
      <w:pPr>
        <w:jc w:val="both"/>
        <w:rPr>
          <w:rFonts w:ascii="Arial" w:hAnsi="Arial" w:cs="Arial"/>
        </w:rPr>
      </w:pPr>
      <w:r w:rsidRPr="00D8190A">
        <w:rPr>
          <w:rFonts w:ascii="Arial" w:hAnsi="Arial" w:cs="Arial"/>
        </w:rPr>
        <w:t xml:space="preserve">    Podle § 6 odst. 4 písm. b) zákona o dani z nemovitostí se u nezastavěných stavebních pozemků, umístěných v níže uvedených částech, stanoví koeficient pro násobení základní sazby daně takto:</w:t>
      </w:r>
    </w:p>
    <w:p w:rsidR="00D831EF" w:rsidRPr="00D8190A" w:rsidRDefault="00D831EF" w:rsidP="00D831EF">
      <w:pPr>
        <w:jc w:val="both"/>
        <w:rPr>
          <w:rFonts w:ascii="Arial" w:hAnsi="Arial" w:cs="Arial"/>
        </w:rPr>
      </w:pPr>
      <w:r w:rsidRPr="00D8190A">
        <w:rPr>
          <w:rFonts w:ascii="Arial" w:hAnsi="Arial" w:cs="Arial"/>
        </w:rPr>
        <w:t> </w:t>
      </w:r>
    </w:p>
    <w:p w:rsidR="00D831EF" w:rsidRPr="00D8190A" w:rsidRDefault="00D831EF" w:rsidP="00D831EF">
      <w:pPr>
        <w:rPr>
          <w:rFonts w:ascii="Arial" w:hAnsi="Arial" w:cs="Arial"/>
        </w:rPr>
      </w:pPr>
      <w:r w:rsidRPr="00D8190A">
        <w:rPr>
          <w:rFonts w:ascii="Arial" w:hAnsi="Arial" w:cs="Arial"/>
        </w:rPr>
        <w:t>název části obce:</w:t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  <w:t>stanovený koeficient:</w:t>
      </w:r>
    </w:p>
    <w:p w:rsidR="00D831EF" w:rsidRPr="00D8190A" w:rsidRDefault="00D831EF" w:rsidP="00D831EF">
      <w:pPr>
        <w:rPr>
          <w:rFonts w:ascii="Arial" w:hAnsi="Arial" w:cs="Arial"/>
        </w:rPr>
      </w:pPr>
      <w:proofErr w:type="gramStart"/>
      <w:r w:rsidRPr="00D8190A">
        <w:rPr>
          <w:rFonts w:ascii="Arial" w:hAnsi="Arial" w:cs="Arial"/>
        </w:rPr>
        <w:t>Věšín ( včetně</w:t>
      </w:r>
      <w:proofErr w:type="gramEnd"/>
      <w:r w:rsidRPr="00D8190A">
        <w:rPr>
          <w:rFonts w:ascii="Arial" w:hAnsi="Arial" w:cs="Arial"/>
        </w:rPr>
        <w:t xml:space="preserve"> osady </w:t>
      </w:r>
      <w:proofErr w:type="spellStart"/>
      <w:r w:rsidRPr="00D8190A">
        <w:rPr>
          <w:rFonts w:ascii="Arial" w:hAnsi="Arial" w:cs="Arial"/>
        </w:rPr>
        <w:t>Teslíny</w:t>
      </w:r>
      <w:proofErr w:type="spellEnd"/>
      <w:r w:rsidRPr="00D8190A">
        <w:rPr>
          <w:rFonts w:ascii="Arial" w:hAnsi="Arial" w:cs="Arial"/>
        </w:rPr>
        <w:t xml:space="preserve"> ) </w:t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  <w:t>1,0</w:t>
      </w:r>
    </w:p>
    <w:p w:rsidR="00D831EF" w:rsidRPr="00D8190A" w:rsidRDefault="00D831EF" w:rsidP="00D831EF">
      <w:pPr>
        <w:rPr>
          <w:rFonts w:ascii="Arial" w:hAnsi="Arial" w:cs="Arial"/>
        </w:rPr>
      </w:pPr>
      <w:r w:rsidRPr="00D8190A">
        <w:rPr>
          <w:rFonts w:ascii="Arial" w:hAnsi="Arial" w:cs="Arial"/>
        </w:rPr>
        <w:t xml:space="preserve">Buková                        </w:t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  <w:t>1,0</w:t>
      </w:r>
    </w:p>
    <w:p w:rsidR="00D831EF" w:rsidRDefault="00D831EF" w:rsidP="00D831EF">
      <w:pPr>
        <w:jc w:val="center"/>
        <w:rPr>
          <w:rFonts w:ascii="Arial" w:hAnsi="Arial" w:cs="Arial"/>
        </w:rPr>
      </w:pPr>
    </w:p>
    <w:p w:rsidR="00D8190A" w:rsidRDefault="00D8190A" w:rsidP="00D831EF">
      <w:pPr>
        <w:jc w:val="center"/>
        <w:rPr>
          <w:rFonts w:ascii="Arial" w:hAnsi="Arial" w:cs="Arial"/>
        </w:rPr>
      </w:pPr>
    </w:p>
    <w:p w:rsidR="00D8190A" w:rsidRPr="00D8190A" w:rsidRDefault="00D8190A" w:rsidP="00D831EF">
      <w:pPr>
        <w:jc w:val="center"/>
        <w:rPr>
          <w:rFonts w:ascii="Arial" w:hAnsi="Arial" w:cs="Arial"/>
        </w:rPr>
      </w:pPr>
    </w:p>
    <w:p w:rsidR="00D831EF" w:rsidRPr="00D8190A" w:rsidRDefault="00D831EF" w:rsidP="00D831EF">
      <w:pPr>
        <w:jc w:val="center"/>
        <w:rPr>
          <w:rFonts w:ascii="Arial" w:hAnsi="Arial" w:cs="Arial"/>
        </w:rPr>
      </w:pPr>
      <w:r w:rsidRPr="00D8190A">
        <w:rPr>
          <w:rFonts w:ascii="Arial" w:hAnsi="Arial" w:cs="Arial"/>
        </w:rPr>
        <w:t>Čl. 2</w:t>
      </w:r>
    </w:p>
    <w:p w:rsidR="00D831EF" w:rsidRPr="00D8190A" w:rsidRDefault="00D831EF" w:rsidP="00D831EF">
      <w:pPr>
        <w:jc w:val="center"/>
        <w:rPr>
          <w:rFonts w:ascii="Arial" w:hAnsi="Arial" w:cs="Arial"/>
        </w:rPr>
      </w:pPr>
      <w:r w:rsidRPr="00D8190A">
        <w:rPr>
          <w:rFonts w:ascii="Arial" w:hAnsi="Arial" w:cs="Arial"/>
        </w:rPr>
        <w:t>Daň ze staveb</w:t>
      </w:r>
    </w:p>
    <w:p w:rsidR="00D831EF" w:rsidRPr="00D8190A" w:rsidRDefault="00D831EF" w:rsidP="00D831EF">
      <w:pPr>
        <w:rPr>
          <w:rFonts w:ascii="Arial" w:hAnsi="Arial" w:cs="Arial"/>
        </w:rPr>
      </w:pPr>
      <w:r w:rsidRPr="00D8190A">
        <w:rPr>
          <w:rFonts w:ascii="Arial" w:hAnsi="Arial" w:cs="Arial"/>
        </w:rPr>
        <w:t> </w:t>
      </w:r>
    </w:p>
    <w:p w:rsidR="00D831EF" w:rsidRPr="00D8190A" w:rsidRDefault="00D831EF" w:rsidP="00D831EF">
      <w:pPr>
        <w:pStyle w:val="Zkladntext"/>
        <w:rPr>
          <w:rFonts w:ascii="Arial" w:hAnsi="Arial" w:cs="Arial"/>
        </w:rPr>
      </w:pPr>
      <w:r w:rsidRPr="00D8190A">
        <w:rPr>
          <w:rFonts w:ascii="Arial" w:hAnsi="Arial" w:cs="Arial"/>
        </w:rPr>
        <w:t xml:space="preserve">1.    Podle § 11 odst. 3 písm. a) zákona o dani z nemovitostí se u staveb obytných domů a ostatních staveb tvořících příslušenství k obytným domům, u bytů a ostatních samostatných nebytových </w:t>
      </w:r>
      <w:proofErr w:type="gramStart"/>
      <w:r w:rsidRPr="00D8190A">
        <w:rPr>
          <w:rFonts w:ascii="Arial" w:hAnsi="Arial" w:cs="Arial"/>
        </w:rPr>
        <w:t>prostor,  umístěným</w:t>
      </w:r>
      <w:proofErr w:type="gramEnd"/>
      <w:r w:rsidRPr="00D8190A">
        <w:rPr>
          <w:rFonts w:ascii="Arial" w:hAnsi="Arial" w:cs="Arial"/>
        </w:rPr>
        <w:t xml:space="preserve"> v níže uvedených částech obce, stanoví koeficient pro násobení základní sazby daně takto:</w:t>
      </w:r>
    </w:p>
    <w:p w:rsidR="00D831EF" w:rsidRPr="00D8190A" w:rsidRDefault="00D831EF" w:rsidP="00D831EF">
      <w:pPr>
        <w:rPr>
          <w:rFonts w:ascii="Arial" w:hAnsi="Arial" w:cs="Arial"/>
        </w:rPr>
      </w:pPr>
      <w:r w:rsidRPr="00D8190A">
        <w:rPr>
          <w:rFonts w:ascii="Arial" w:hAnsi="Arial" w:cs="Arial"/>
        </w:rPr>
        <w:t> </w:t>
      </w:r>
    </w:p>
    <w:p w:rsidR="00B43633" w:rsidRPr="00D8190A" w:rsidRDefault="00B43633" w:rsidP="00D831EF">
      <w:pPr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  <w:r w:rsidRPr="00D8190A">
        <w:rPr>
          <w:rFonts w:ascii="Arial" w:hAnsi="Arial" w:cs="Arial"/>
        </w:rPr>
        <w:t>název části obce:</w:t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  <w:t>stanovený koeficient:</w:t>
      </w:r>
    </w:p>
    <w:p w:rsidR="00D831EF" w:rsidRPr="00D8190A" w:rsidRDefault="00D831EF" w:rsidP="00D831EF">
      <w:pPr>
        <w:rPr>
          <w:rFonts w:ascii="Arial" w:hAnsi="Arial" w:cs="Arial"/>
        </w:rPr>
      </w:pPr>
      <w:proofErr w:type="gramStart"/>
      <w:r w:rsidRPr="00D8190A">
        <w:rPr>
          <w:rFonts w:ascii="Arial" w:hAnsi="Arial" w:cs="Arial"/>
        </w:rPr>
        <w:t>Věšín ( včetně</w:t>
      </w:r>
      <w:proofErr w:type="gramEnd"/>
      <w:r w:rsidRPr="00D8190A">
        <w:rPr>
          <w:rFonts w:ascii="Arial" w:hAnsi="Arial" w:cs="Arial"/>
        </w:rPr>
        <w:t xml:space="preserve"> osady </w:t>
      </w:r>
      <w:proofErr w:type="spellStart"/>
      <w:r w:rsidRPr="00D8190A">
        <w:rPr>
          <w:rFonts w:ascii="Arial" w:hAnsi="Arial" w:cs="Arial"/>
        </w:rPr>
        <w:t>Teslíny</w:t>
      </w:r>
      <w:proofErr w:type="spellEnd"/>
      <w:r w:rsidRPr="00D8190A">
        <w:rPr>
          <w:rFonts w:ascii="Arial" w:hAnsi="Arial" w:cs="Arial"/>
        </w:rPr>
        <w:t xml:space="preserve"> )            </w:t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  <w:t>1,0</w:t>
      </w:r>
    </w:p>
    <w:p w:rsidR="00D831EF" w:rsidRPr="00D8190A" w:rsidRDefault="00D831EF" w:rsidP="00D831EF">
      <w:pPr>
        <w:rPr>
          <w:rFonts w:ascii="Arial" w:hAnsi="Arial" w:cs="Arial"/>
        </w:rPr>
      </w:pPr>
      <w:r w:rsidRPr="00D8190A">
        <w:rPr>
          <w:rFonts w:ascii="Arial" w:hAnsi="Arial" w:cs="Arial"/>
        </w:rPr>
        <w:t xml:space="preserve">Buková                        </w:t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  <w:t>1,0</w:t>
      </w:r>
    </w:p>
    <w:p w:rsidR="00D831EF" w:rsidRPr="00D8190A" w:rsidRDefault="00D831EF" w:rsidP="00D831EF">
      <w:pPr>
        <w:rPr>
          <w:rFonts w:ascii="Arial" w:hAnsi="Arial" w:cs="Arial"/>
        </w:rPr>
      </w:pPr>
    </w:p>
    <w:p w:rsidR="00063DF8" w:rsidRDefault="00063DF8" w:rsidP="00D831EF">
      <w:pPr>
        <w:tabs>
          <w:tab w:val="left" w:pos="3105"/>
          <w:tab w:val="center" w:pos="4536"/>
        </w:tabs>
        <w:jc w:val="center"/>
        <w:rPr>
          <w:rFonts w:ascii="Arial" w:hAnsi="Arial" w:cs="Arial"/>
        </w:rPr>
      </w:pPr>
    </w:p>
    <w:p w:rsidR="00063DF8" w:rsidRDefault="00063DF8" w:rsidP="00D831EF">
      <w:pPr>
        <w:tabs>
          <w:tab w:val="left" w:pos="3105"/>
          <w:tab w:val="center" w:pos="4536"/>
        </w:tabs>
        <w:jc w:val="center"/>
        <w:rPr>
          <w:rFonts w:ascii="Arial" w:hAnsi="Arial" w:cs="Arial"/>
        </w:rPr>
      </w:pPr>
    </w:p>
    <w:p w:rsidR="00063DF8" w:rsidRDefault="00063DF8" w:rsidP="00D831EF">
      <w:pPr>
        <w:tabs>
          <w:tab w:val="left" w:pos="3105"/>
          <w:tab w:val="center" w:pos="4536"/>
        </w:tabs>
        <w:jc w:val="center"/>
        <w:rPr>
          <w:rFonts w:ascii="Arial" w:hAnsi="Arial" w:cs="Arial"/>
        </w:rPr>
      </w:pPr>
    </w:p>
    <w:p w:rsidR="00063DF8" w:rsidRDefault="00063DF8" w:rsidP="00D831EF">
      <w:pPr>
        <w:tabs>
          <w:tab w:val="left" w:pos="3105"/>
          <w:tab w:val="center" w:pos="4536"/>
        </w:tabs>
        <w:jc w:val="center"/>
        <w:rPr>
          <w:rFonts w:ascii="Arial" w:hAnsi="Arial" w:cs="Arial"/>
        </w:rPr>
      </w:pPr>
    </w:p>
    <w:p w:rsidR="00D831EF" w:rsidRPr="00D8190A" w:rsidRDefault="00D831EF" w:rsidP="00D831EF">
      <w:pPr>
        <w:tabs>
          <w:tab w:val="left" w:pos="3105"/>
          <w:tab w:val="center" w:pos="4536"/>
        </w:tabs>
        <w:jc w:val="center"/>
        <w:rPr>
          <w:rFonts w:ascii="Arial" w:hAnsi="Arial" w:cs="Arial"/>
        </w:rPr>
      </w:pPr>
      <w:bookmarkStart w:id="0" w:name="_GoBack"/>
      <w:bookmarkEnd w:id="0"/>
      <w:r w:rsidRPr="00D8190A">
        <w:rPr>
          <w:rFonts w:ascii="Arial" w:hAnsi="Arial" w:cs="Arial"/>
        </w:rPr>
        <w:lastRenderedPageBreak/>
        <w:t>Čl. 3</w:t>
      </w:r>
    </w:p>
    <w:p w:rsidR="00D831EF" w:rsidRPr="00D8190A" w:rsidRDefault="00D831EF" w:rsidP="00D831EF">
      <w:pPr>
        <w:tabs>
          <w:tab w:val="left" w:pos="3105"/>
          <w:tab w:val="center" w:pos="4536"/>
        </w:tabs>
        <w:jc w:val="center"/>
        <w:rPr>
          <w:rFonts w:ascii="Arial" w:hAnsi="Arial" w:cs="Arial"/>
        </w:rPr>
      </w:pPr>
    </w:p>
    <w:p w:rsidR="00D831EF" w:rsidRPr="00D8190A" w:rsidRDefault="00D831EF" w:rsidP="00D831EF">
      <w:pPr>
        <w:tabs>
          <w:tab w:val="left" w:pos="3105"/>
          <w:tab w:val="center" w:pos="4536"/>
        </w:tabs>
        <w:rPr>
          <w:rFonts w:ascii="Arial" w:hAnsi="Arial" w:cs="Arial"/>
        </w:rPr>
      </w:pPr>
      <w:r w:rsidRPr="00D8190A">
        <w:rPr>
          <w:rFonts w:ascii="Arial" w:hAnsi="Arial" w:cs="Arial"/>
        </w:rPr>
        <w:t>1.    Podle této obecně závazné vyhlášky se postupuje poprvé ve zdaňovacím období roku 2020. Poplatkové povinnosti vzniklé nabytím účinnosti této vyhlášky se posuzují podle dosavadních právních předpisů.</w:t>
      </w:r>
    </w:p>
    <w:p w:rsidR="00D831EF" w:rsidRPr="00D8190A" w:rsidRDefault="00D831EF" w:rsidP="00D831EF">
      <w:pPr>
        <w:tabs>
          <w:tab w:val="left" w:pos="3105"/>
          <w:tab w:val="center" w:pos="4536"/>
        </w:tabs>
        <w:rPr>
          <w:rFonts w:ascii="Arial" w:hAnsi="Arial" w:cs="Arial"/>
        </w:rPr>
      </w:pPr>
      <w:r w:rsidRPr="00D8190A">
        <w:rPr>
          <w:rFonts w:ascii="Arial" w:hAnsi="Arial" w:cs="Arial"/>
        </w:rPr>
        <w:t>2.    Nabytím účinnosti této obecně závazné vyhlášky se ruší OZV č. 1/1994 o stanovení koeficientu pro výpočet daně z nemovitosti.</w:t>
      </w:r>
    </w:p>
    <w:p w:rsidR="00D831EF" w:rsidRDefault="00D831EF" w:rsidP="00D831EF">
      <w:pPr>
        <w:tabs>
          <w:tab w:val="left" w:pos="3105"/>
          <w:tab w:val="center" w:pos="4536"/>
        </w:tabs>
        <w:rPr>
          <w:rFonts w:ascii="Arial" w:hAnsi="Arial" w:cs="Arial"/>
        </w:rPr>
      </w:pPr>
    </w:p>
    <w:p w:rsidR="00D8190A" w:rsidRDefault="00D8190A" w:rsidP="00D831EF">
      <w:pPr>
        <w:tabs>
          <w:tab w:val="left" w:pos="3105"/>
          <w:tab w:val="center" w:pos="4536"/>
        </w:tabs>
        <w:rPr>
          <w:rFonts w:ascii="Arial" w:hAnsi="Arial" w:cs="Arial"/>
        </w:rPr>
      </w:pPr>
    </w:p>
    <w:p w:rsidR="00D8190A" w:rsidRPr="00D8190A" w:rsidRDefault="00D8190A" w:rsidP="00D831EF">
      <w:pPr>
        <w:tabs>
          <w:tab w:val="left" w:pos="3105"/>
          <w:tab w:val="center" w:pos="4536"/>
        </w:tabs>
        <w:rPr>
          <w:rFonts w:ascii="Arial" w:hAnsi="Arial" w:cs="Arial"/>
        </w:rPr>
      </w:pPr>
    </w:p>
    <w:p w:rsidR="00D831EF" w:rsidRPr="00D8190A" w:rsidRDefault="00D831EF" w:rsidP="00D831EF">
      <w:pPr>
        <w:tabs>
          <w:tab w:val="left" w:pos="3105"/>
          <w:tab w:val="center" w:pos="4536"/>
        </w:tabs>
        <w:jc w:val="center"/>
        <w:rPr>
          <w:rFonts w:ascii="Arial" w:hAnsi="Arial" w:cs="Arial"/>
        </w:rPr>
      </w:pPr>
      <w:r w:rsidRPr="00D8190A">
        <w:rPr>
          <w:rFonts w:ascii="Arial" w:hAnsi="Arial" w:cs="Arial"/>
        </w:rPr>
        <w:t xml:space="preserve">Čl. </w:t>
      </w:r>
      <w:r w:rsidR="00BD5E16">
        <w:rPr>
          <w:rFonts w:ascii="Arial" w:hAnsi="Arial" w:cs="Arial"/>
        </w:rPr>
        <w:t>4</w:t>
      </w:r>
    </w:p>
    <w:p w:rsidR="00D831EF" w:rsidRPr="00D8190A" w:rsidRDefault="00D831EF" w:rsidP="00D831EF">
      <w:pPr>
        <w:tabs>
          <w:tab w:val="left" w:pos="3105"/>
          <w:tab w:val="center" w:pos="4536"/>
        </w:tabs>
        <w:jc w:val="center"/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  <w:r w:rsidRPr="00D8190A">
        <w:rPr>
          <w:rFonts w:ascii="Arial" w:hAnsi="Arial" w:cs="Arial"/>
        </w:rPr>
        <w:t xml:space="preserve">Tato obecně závazná vyhláška nabývá účinnosti dnem </w:t>
      </w:r>
      <w:proofErr w:type="gramStart"/>
      <w:r w:rsidRPr="00D8190A">
        <w:rPr>
          <w:rFonts w:ascii="Arial" w:hAnsi="Arial" w:cs="Arial"/>
        </w:rPr>
        <w:t>1.1.2020</w:t>
      </w:r>
      <w:proofErr w:type="gramEnd"/>
      <w:r w:rsidRPr="00D8190A">
        <w:rPr>
          <w:rFonts w:ascii="Arial" w:hAnsi="Arial" w:cs="Arial"/>
        </w:rPr>
        <w:t>.</w:t>
      </w:r>
    </w:p>
    <w:p w:rsidR="00D831EF" w:rsidRPr="00D8190A" w:rsidRDefault="00D831EF" w:rsidP="00D831EF">
      <w:pPr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  <w:r w:rsidRPr="00D8190A">
        <w:rPr>
          <w:rFonts w:ascii="Arial" w:hAnsi="Arial" w:cs="Arial"/>
        </w:rPr>
        <w:t xml:space="preserve">       ..............................                                              </w:t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  <w:t xml:space="preserve">       ……………………..</w:t>
      </w:r>
    </w:p>
    <w:p w:rsidR="00D831EF" w:rsidRPr="00D8190A" w:rsidRDefault="00D831EF" w:rsidP="00D831EF">
      <w:pPr>
        <w:rPr>
          <w:rFonts w:ascii="Arial" w:hAnsi="Arial" w:cs="Arial"/>
        </w:rPr>
      </w:pPr>
      <w:r w:rsidRPr="00D8190A">
        <w:rPr>
          <w:rFonts w:ascii="Arial" w:hAnsi="Arial" w:cs="Arial"/>
        </w:rPr>
        <w:t xml:space="preserve">          Petr Jeníček                                                     </w:t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  <w:t xml:space="preserve">           Ing. Pavel Hutr</w:t>
      </w:r>
    </w:p>
    <w:p w:rsidR="00D831EF" w:rsidRPr="00D8190A" w:rsidRDefault="00D831EF" w:rsidP="00D831EF">
      <w:pPr>
        <w:rPr>
          <w:rFonts w:ascii="Arial" w:hAnsi="Arial" w:cs="Arial"/>
        </w:rPr>
      </w:pPr>
      <w:r w:rsidRPr="00D8190A">
        <w:rPr>
          <w:rFonts w:ascii="Arial" w:hAnsi="Arial" w:cs="Arial"/>
        </w:rPr>
        <w:t xml:space="preserve">         místostarosta</w:t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</w:r>
      <w:r w:rsidRPr="00D8190A">
        <w:rPr>
          <w:rFonts w:ascii="Arial" w:hAnsi="Arial" w:cs="Arial"/>
        </w:rPr>
        <w:tab/>
        <w:t xml:space="preserve">      starosta</w:t>
      </w:r>
    </w:p>
    <w:p w:rsidR="00D831EF" w:rsidRPr="00D8190A" w:rsidRDefault="00D831EF" w:rsidP="00D831EF">
      <w:pPr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</w:p>
    <w:p w:rsidR="00D831EF" w:rsidRPr="00D8190A" w:rsidRDefault="00D831EF" w:rsidP="00D831EF">
      <w:pPr>
        <w:rPr>
          <w:rFonts w:ascii="Arial" w:hAnsi="Arial" w:cs="Arial"/>
        </w:rPr>
      </w:pPr>
    </w:p>
    <w:p w:rsidR="00310DA2" w:rsidRPr="00D8190A" w:rsidRDefault="00310DA2">
      <w:pPr>
        <w:rPr>
          <w:rFonts w:ascii="Arial" w:hAnsi="Arial" w:cs="Arial"/>
        </w:rPr>
      </w:pPr>
    </w:p>
    <w:p w:rsidR="00D831EF" w:rsidRPr="00D8190A" w:rsidRDefault="00D831EF">
      <w:pPr>
        <w:rPr>
          <w:rFonts w:ascii="Arial" w:hAnsi="Arial" w:cs="Arial"/>
        </w:rPr>
      </w:pPr>
    </w:p>
    <w:p w:rsidR="00D831EF" w:rsidRPr="00D8190A" w:rsidRDefault="00D831EF">
      <w:pPr>
        <w:rPr>
          <w:rFonts w:ascii="Arial" w:hAnsi="Arial" w:cs="Arial"/>
        </w:rPr>
      </w:pPr>
    </w:p>
    <w:p w:rsidR="00D831EF" w:rsidRPr="00D8190A" w:rsidRDefault="00D831EF">
      <w:pPr>
        <w:rPr>
          <w:rFonts w:ascii="Arial" w:hAnsi="Arial" w:cs="Arial"/>
        </w:rPr>
      </w:pPr>
    </w:p>
    <w:p w:rsidR="00D831EF" w:rsidRPr="00D8190A" w:rsidRDefault="00D831EF">
      <w:pPr>
        <w:rPr>
          <w:rFonts w:ascii="Arial" w:hAnsi="Arial" w:cs="Arial"/>
        </w:rPr>
      </w:pPr>
    </w:p>
    <w:p w:rsidR="00D831EF" w:rsidRPr="00D8190A" w:rsidRDefault="00D831EF">
      <w:pPr>
        <w:rPr>
          <w:rFonts w:ascii="Arial" w:hAnsi="Arial" w:cs="Arial"/>
        </w:rPr>
      </w:pPr>
    </w:p>
    <w:p w:rsidR="00D831EF" w:rsidRPr="00D8190A" w:rsidRDefault="00D831EF">
      <w:pPr>
        <w:rPr>
          <w:rFonts w:ascii="Arial" w:hAnsi="Arial" w:cs="Arial"/>
        </w:rPr>
      </w:pPr>
    </w:p>
    <w:p w:rsidR="00D831EF" w:rsidRPr="00D8190A" w:rsidRDefault="00D831EF">
      <w:pPr>
        <w:rPr>
          <w:rFonts w:ascii="Arial" w:hAnsi="Arial" w:cs="Arial"/>
        </w:rPr>
      </w:pPr>
    </w:p>
    <w:p w:rsidR="00D831EF" w:rsidRPr="00D8190A" w:rsidRDefault="00D831EF">
      <w:pPr>
        <w:rPr>
          <w:rFonts w:ascii="Arial" w:hAnsi="Arial" w:cs="Arial"/>
        </w:rPr>
      </w:pPr>
    </w:p>
    <w:p w:rsidR="00D831EF" w:rsidRPr="00D8190A" w:rsidRDefault="00D831EF">
      <w:pPr>
        <w:rPr>
          <w:rFonts w:ascii="Arial" w:hAnsi="Arial" w:cs="Arial"/>
        </w:rPr>
      </w:pPr>
    </w:p>
    <w:p w:rsidR="00D831EF" w:rsidRPr="00D8190A" w:rsidRDefault="00D831EF">
      <w:pPr>
        <w:rPr>
          <w:rFonts w:ascii="Arial" w:hAnsi="Arial" w:cs="Arial"/>
        </w:rPr>
      </w:pPr>
    </w:p>
    <w:p w:rsidR="00D831EF" w:rsidRPr="00D8190A" w:rsidRDefault="00D831EF">
      <w:pPr>
        <w:rPr>
          <w:rFonts w:ascii="Arial" w:hAnsi="Arial" w:cs="Arial"/>
          <w:sz w:val="20"/>
          <w:szCs w:val="20"/>
        </w:rPr>
      </w:pPr>
      <w:r w:rsidRPr="00D8190A">
        <w:rPr>
          <w:rFonts w:ascii="Arial" w:hAnsi="Arial" w:cs="Arial"/>
          <w:sz w:val="20"/>
          <w:szCs w:val="20"/>
        </w:rPr>
        <w:t>Vyvěšeno:</w:t>
      </w:r>
    </w:p>
    <w:p w:rsidR="00D831EF" w:rsidRPr="00D8190A" w:rsidRDefault="00D831EF">
      <w:pPr>
        <w:rPr>
          <w:rFonts w:ascii="Arial" w:hAnsi="Arial" w:cs="Arial"/>
          <w:sz w:val="20"/>
          <w:szCs w:val="20"/>
        </w:rPr>
      </w:pPr>
    </w:p>
    <w:p w:rsidR="00D831EF" w:rsidRPr="00D8190A" w:rsidRDefault="00D831EF">
      <w:pPr>
        <w:rPr>
          <w:rFonts w:ascii="Arial" w:hAnsi="Arial" w:cs="Arial"/>
          <w:sz w:val="20"/>
          <w:szCs w:val="20"/>
        </w:rPr>
      </w:pPr>
      <w:r w:rsidRPr="00D8190A">
        <w:rPr>
          <w:rFonts w:ascii="Arial" w:hAnsi="Arial" w:cs="Arial"/>
          <w:sz w:val="20"/>
          <w:szCs w:val="20"/>
        </w:rPr>
        <w:t>Sejmuto:</w:t>
      </w:r>
    </w:p>
    <w:p w:rsidR="00D8190A" w:rsidRPr="00D8190A" w:rsidRDefault="00D8190A">
      <w:pPr>
        <w:rPr>
          <w:rFonts w:ascii="Arial" w:hAnsi="Arial" w:cs="Arial"/>
          <w:sz w:val="20"/>
          <w:szCs w:val="20"/>
        </w:rPr>
      </w:pPr>
    </w:p>
    <w:sectPr w:rsidR="00D8190A" w:rsidRPr="00D81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EF"/>
    <w:rsid w:val="00063DF8"/>
    <w:rsid w:val="00310DA2"/>
    <w:rsid w:val="00B43633"/>
    <w:rsid w:val="00BD5E16"/>
    <w:rsid w:val="00C121E4"/>
    <w:rsid w:val="00D8190A"/>
    <w:rsid w:val="00D8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E47E1-ED0B-4995-82FE-9CE57599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831EF"/>
    <w:pPr>
      <w:jc w:val="center"/>
    </w:pPr>
    <w:rPr>
      <w:sz w:val="28"/>
      <w:szCs w:val="28"/>
    </w:rPr>
  </w:style>
  <w:style w:type="character" w:customStyle="1" w:styleId="NzevChar">
    <w:name w:val="Název Char"/>
    <w:basedOn w:val="Standardnpsmoodstavce"/>
    <w:link w:val="Nzev"/>
    <w:rsid w:val="00D831EF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D831EF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831E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Věšín</dc:creator>
  <cp:keywords/>
  <dc:description/>
  <cp:lastModifiedBy>Obec Věšín</cp:lastModifiedBy>
  <cp:revision>6</cp:revision>
  <dcterms:created xsi:type="dcterms:W3CDTF">2019-09-05T09:18:00Z</dcterms:created>
  <dcterms:modified xsi:type="dcterms:W3CDTF">2024-12-06T06:55:00Z</dcterms:modified>
</cp:coreProperties>
</file>