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79D10B" w14:textId="77777777" w:rsidR="00A9586E" w:rsidRPr="00A9586E" w:rsidRDefault="00A9586E" w:rsidP="00A9586E">
      <w:pPr>
        <w:rPr>
          <w:b/>
          <w:sz w:val="24"/>
          <w:szCs w:val="24"/>
        </w:rPr>
      </w:pPr>
      <w:r w:rsidRPr="00A9586E">
        <w:rPr>
          <w:b/>
          <w:sz w:val="24"/>
          <w:szCs w:val="24"/>
        </w:rPr>
        <w:t>Město Pelhřimov</w:t>
      </w:r>
    </w:p>
    <w:p w14:paraId="2855589B" w14:textId="77777777" w:rsidR="00A9586E" w:rsidRPr="00A9586E" w:rsidRDefault="00A9586E" w:rsidP="00A9586E">
      <w:pPr>
        <w:pStyle w:val="Zhlav"/>
        <w:rPr>
          <w:sz w:val="24"/>
          <w:szCs w:val="24"/>
        </w:rPr>
      </w:pPr>
      <w:r w:rsidRPr="00A9586E">
        <w:rPr>
          <w:sz w:val="24"/>
          <w:szCs w:val="24"/>
        </w:rPr>
        <w:t>Zastupitelstvo města Pelhřimov</w:t>
      </w:r>
    </w:p>
    <w:p w14:paraId="6D350254" w14:textId="77777777" w:rsidR="00A9586E" w:rsidRDefault="00A9586E" w:rsidP="00A9586E">
      <w:pPr>
        <w:pStyle w:val="Zhlav"/>
        <w:rPr>
          <w:sz w:val="28"/>
          <w:szCs w:val="28"/>
        </w:rPr>
      </w:pPr>
    </w:p>
    <w:p w14:paraId="25A7506C" w14:textId="77777777" w:rsidR="00A9586E" w:rsidRPr="00BC359B" w:rsidRDefault="00A9586E" w:rsidP="00A9586E">
      <w:pPr>
        <w:pStyle w:val="Zhlav"/>
        <w:rPr>
          <w:sz w:val="28"/>
          <w:szCs w:val="28"/>
        </w:rPr>
      </w:pPr>
    </w:p>
    <w:p w14:paraId="1EC4F51C" w14:textId="77777777" w:rsidR="00E877B3" w:rsidRPr="00A9586E" w:rsidRDefault="00E877B3" w:rsidP="00E877B3">
      <w:pPr>
        <w:jc w:val="center"/>
        <w:rPr>
          <w:b/>
          <w:sz w:val="28"/>
          <w:szCs w:val="28"/>
          <w:u w:val="single"/>
        </w:rPr>
      </w:pPr>
      <w:bookmarkStart w:id="0" w:name="_Hlk89411754"/>
      <w:r w:rsidRPr="00A9586E">
        <w:rPr>
          <w:b/>
          <w:sz w:val="28"/>
          <w:szCs w:val="28"/>
          <w:u w:val="single"/>
        </w:rPr>
        <w:t>Obecně závazná vyhláška města Pelhřimov</w:t>
      </w:r>
      <w:r w:rsidR="0012785F">
        <w:rPr>
          <w:b/>
          <w:sz w:val="28"/>
          <w:szCs w:val="28"/>
          <w:u w:val="single"/>
        </w:rPr>
        <w:t>,</w:t>
      </w:r>
    </w:p>
    <w:p w14:paraId="04FBFDA8" w14:textId="77777777" w:rsidR="003F4611" w:rsidRDefault="0012785F" w:rsidP="00E877B3">
      <w:pPr>
        <w:pStyle w:val="NormlnIMP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3F4611">
        <w:rPr>
          <w:b/>
          <w:color w:val="000000"/>
          <w:szCs w:val="24"/>
          <w:u w:val="single"/>
        </w:rPr>
        <w:t>kterou se mění obecně závazná vyhláška města Pelhřimova č. 7/2021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523EB846" w14:textId="77777777" w:rsidR="00E877B3" w:rsidRPr="00A9586E" w:rsidRDefault="00E877B3" w:rsidP="00E877B3">
      <w:pPr>
        <w:pStyle w:val="NormlnIMP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A9586E">
        <w:rPr>
          <w:b/>
          <w:color w:val="000000"/>
          <w:sz w:val="28"/>
          <w:szCs w:val="28"/>
          <w:u w:val="single"/>
        </w:rPr>
        <w:t xml:space="preserve">o stanovení obecního systému odpadového hospodářství </w:t>
      </w:r>
    </w:p>
    <w:bookmarkEnd w:id="0"/>
    <w:p w14:paraId="4B302FA5" w14:textId="77777777" w:rsidR="00E877B3" w:rsidRPr="00FB6AE5" w:rsidRDefault="00E877B3" w:rsidP="00E877B3">
      <w:pPr>
        <w:jc w:val="both"/>
        <w:rPr>
          <w:rFonts w:ascii="Arial" w:hAnsi="Arial" w:cs="Arial"/>
          <w:sz w:val="22"/>
          <w:szCs w:val="22"/>
        </w:rPr>
      </w:pPr>
    </w:p>
    <w:p w14:paraId="12A09B18" w14:textId="2A7DC2AD" w:rsidR="00E877B3" w:rsidRDefault="00E877B3" w:rsidP="006361D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  <w:r w:rsidRPr="00A9586E">
        <w:rPr>
          <w:sz w:val="24"/>
          <w:szCs w:val="24"/>
        </w:rPr>
        <w:t xml:space="preserve">Zastupitelstvo města Pelhřimov se na svém zasedání dne </w:t>
      </w:r>
      <w:r w:rsidR="0012785F">
        <w:rPr>
          <w:sz w:val="24"/>
          <w:szCs w:val="24"/>
        </w:rPr>
        <w:t>22. 06. 2022</w:t>
      </w:r>
      <w:r w:rsidRPr="00A9586E">
        <w:rPr>
          <w:sz w:val="24"/>
          <w:szCs w:val="24"/>
        </w:rPr>
        <w:t xml:space="preserve"> usneslo</w:t>
      </w:r>
      <w:r w:rsidR="00720BDB">
        <w:rPr>
          <w:sz w:val="24"/>
          <w:szCs w:val="24"/>
        </w:rPr>
        <w:t xml:space="preserve"> usnesením č. </w:t>
      </w:r>
      <w:r w:rsidR="002B0F36">
        <w:rPr>
          <w:sz w:val="24"/>
          <w:szCs w:val="24"/>
        </w:rPr>
        <w:t>23/8/2022/Z</w:t>
      </w:r>
      <w:r w:rsidRPr="00A9586E">
        <w:rPr>
          <w:sz w:val="24"/>
          <w:szCs w:val="24"/>
        </w:rPr>
        <w:t xml:space="preserve"> vydat na základě § 59 odst. 4 </w:t>
      </w:r>
      <w:r w:rsidR="001E421A" w:rsidRPr="00CC7753">
        <w:rPr>
          <w:sz w:val="24"/>
          <w:szCs w:val="24"/>
        </w:rPr>
        <w:t>a 5</w:t>
      </w:r>
      <w:r w:rsidR="001E421A" w:rsidRPr="00A9586E">
        <w:rPr>
          <w:sz w:val="24"/>
          <w:szCs w:val="24"/>
        </w:rPr>
        <w:t xml:space="preserve"> </w:t>
      </w:r>
      <w:r w:rsidRPr="00A9586E">
        <w:rPr>
          <w:sz w:val="24"/>
          <w:szCs w:val="24"/>
        </w:rPr>
        <w:t>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66AAC81" w14:textId="77777777" w:rsidR="0012785F" w:rsidRDefault="0012785F" w:rsidP="006361D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</w:p>
    <w:p w14:paraId="3568A0F6" w14:textId="77777777" w:rsidR="0012785F" w:rsidRDefault="0012785F" w:rsidP="003F4611">
      <w:pPr>
        <w:pStyle w:val="Zkladntextodsazen2"/>
        <w:numPr>
          <w:ilvl w:val="0"/>
          <w:numId w:val="33"/>
        </w:numPr>
        <w:spacing w:before="120"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Mění se </w:t>
      </w:r>
      <w:r w:rsidR="003F4611">
        <w:rPr>
          <w:sz w:val="24"/>
          <w:szCs w:val="24"/>
        </w:rPr>
        <w:t>Č</w:t>
      </w:r>
      <w:r>
        <w:rPr>
          <w:sz w:val="24"/>
          <w:szCs w:val="24"/>
        </w:rPr>
        <w:t>l. 1. vyhlášky tak, že zní:</w:t>
      </w:r>
    </w:p>
    <w:p w14:paraId="09F3DDE1" w14:textId="77777777" w:rsidR="0012785F" w:rsidRDefault="0012785F" w:rsidP="0012785F">
      <w:pPr>
        <w:pStyle w:val="Style10"/>
        <w:widowControl/>
        <w:spacing w:before="34"/>
        <w:jc w:val="center"/>
        <w:rPr>
          <w:rStyle w:val="FontStyle15"/>
        </w:rPr>
      </w:pPr>
      <w:r>
        <w:rPr>
          <w:rStyle w:val="FontStyle15"/>
          <w:b w:val="0"/>
          <w:bCs w:val="0"/>
        </w:rPr>
        <w:t>„</w:t>
      </w:r>
      <w:r>
        <w:rPr>
          <w:rStyle w:val="FontStyle15"/>
        </w:rPr>
        <w:t>Čl. 1</w:t>
      </w:r>
    </w:p>
    <w:p w14:paraId="6B93B26A" w14:textId="77777777" w:rsidR="0012785F" w:rsidRDefault="0012785F" w:rsidP="0012785F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Úvodní ustanovení</w:t>
      </w:r>
    </w:p>
    <w:p w14:paraId="1C3076C2" w14:textId="77777777" w:rsidR="0012785F" w:rsidRPr="002B0F36" w:rsidRDefault="0012785F" w:rsidP="0012785F">
      <w:pPr>
        <w:pStyle w:val="Style7"/>
        <w:widowControl/>
        <w:numPr>
          <w:ilvl w:val="0"/>
          <w:numId w:val="34"/>
        </w:numPr>
        <w:tabs>
          <w:tab w:val="left" w:pos="403"/>
        </w:tabs>
        <w:spacing w:before="283" w:line="274" w:lineRule="exact"/>
        <w:ind w:left="403" w:hanging="403"/>
        <w:rPr>
          <w:rStyle w:val="FontStyle16"/>
        </w:rPr>
      </w:pPr>
      <w:r w:rsidRPr="002B0F36">
        <w:rPr>
          <w:rStyle w:val="FontStyle16"/>
        </w:rPr>
        <w:t>Tato vyhláška stanovuje obecní systém odpadového hospodářství na území města Pelhřimov (dále jen „obec“) a současně určuje místa, ve kterých bude v rámci obecního systému přebírat</w:t>
      </w:r>
    </w:p>
    <w:p w14:paraId="0A48B9D6" w14:textId="77777777" w:rsidR="0012785F" w:rsidRPr="002B0F36" w:rsidRDefault="0012785F" w:rsidP="0012785F">
      <w:pPr>
        <w:rPr>
          <w:sz w:val="2"/>
          <w:szCs w:val="2"/>
        </w:rPr>
      </w:pPr>
    </w:p>
    <w:p w14:paraId="230DF38D" w14:textId="77777777" w:rsidR="0012785F" w:rsidRPr="002B0F36" w:rsidRDefault="0012785F" w:rsidP="0012785F">
      <w:pPr>
        <w:pStyle w:val="Style8"/>
        <w:widowControl/>
        <w:numPr>
          <w:ilvl w:val="0"/>
          <w:numId w:val="35"/>
        </w:numPr>
        <w:tabs>
          <w:tab w:val="left" w:pos="850"/>
        </w:tabs>
        <w:spacing w:line="274" w:lineRule="exact"/>
        <w:ind w:left="422"/>
        <w:rPr>
          <w:rStyle w:val="FontStyle16"/>
        </w:rPr>
      </w:pPr>
      <w:r w:rsidRPr="002B0F36">
        <w:rPr>
          <w:rStyle w:val="FontStyle16"/>
        </w:rPr>
        <w:t>movité věci v rámci předcházení vzniku odpadu,</w:t>
      </w:r>
    </w:p>
    <w:p w14:paraId="69453386" w14:textId="77777777" w:rsidR="0012785F" w:rsidRPr="002B0F36" w:rsidRDefault="0012785F" w:rsidP="0012785F">
      <w:pPr>
        <w:pStyle w:val="Style8"/>
        <w:widowControl/>
        <w:numPr>
          <w:ilvl w:val="0"/>
          <w:numId w:val="35"/>
        </w:numPr>
        <w:tabs>
          <w:tab w:val="left" w:pos="850"/>
        </w:tabs>
        <w:spacing w:line="274" w:lineRule="exact"/>
        <w:ind w:left="422"/>
        <w:rPr>
          <w:rStyle w:val="FontStyle16"/>
        </w:rPr>
      </w:pPr>
      <w:r w:rsidRPr="002B0F36">
        <w:rPr>
          <w:rStyle w:val="FontStyle16"/>
        </w:rPr>
        <w:t>výrobky s ukončenou životností.</w:t>
      </w:r>
    </w:p>
    <w:p w14:paraId="1ED68A93" w14:textId="77777777" w:rsidR="0012785F" w:rsidRPr="002B0F36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15" w:line="274" w:lineRule="exact"/>
        <w:ind w:left="403" w:right="5" w:hanging="403"/>
        <w:rPr>
          <w:rStyle w:val="FontStyle16"/>
        </w:rPr>
      </w:pPr>
      <w:r w:rsidRPr="002B0F36">
        <w:rPr>
          <w:rStyle w:val="FontStyle16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B0F36">
        <w:rPr>
          <w:rStyle w:val="FontStyle16"/>
          <w:vertAlign w:val="superscript"/>
        </w:rPr>
        <w:footnoteReference w:id="1"/>
      </w:r>
      <w:r w:rsidRPr="002B0F36">
        <w:rPr>
          <w:rStyle w:val="FontStyle16"/>
        </w:rPr>
        <w:t>.</w:t>
      </w:r>
    </w:p>
    <w:p w14:paraId="278EFCA6" w14:textId="77777777" w:rsidR="0012785F" w:rsidRPr="002B0F36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25" w:line="274" w:lineRule="exact"/>
        <w:ind w:left="403" w:right="5" w:hanging="403"/>
        <w:rPr>
          <w:rStyle w:val="FontStyle16"/>
        </w:rPr>
      </w:pPr>
      <w:r w:rsidRPr="002B0F36">
        <w:rPr>
          <w:rStyle w:val="FontStyle16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2B0F36">
        <w:rPr>
          <w:rStyle w:val="FontStyle16"/>
          <w:vertAlign w:val="superscript"/>
        </w:rPr>
        <w:footnoteReference w:id="2"/>
      </w:r>
      <w:r w:rsidRPr="002B0F36">
        <w:rPr>
          <w:rStyle w:val="FontStyle16"/>
        </w:rPr>
        <w:t>.</w:t>
      </w:r>
    </w:p>
    <w:p w14:paraId="337F3E94" w14:textId="77777777" w:rsidR="0012785F" w:rsidRPr="002B0F36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15" w:line="274" w:lineRule="exact"/>
        <w:ind w:left="403" w:right="5" w:hanging="403"/>
        <w:rPr>
          <w:rStyle w:val="FontStyle16"/>
        </w:rPr>
      </w:pPr>
      <w:r w:rsidRPr="002B0F36">
        <w:rPr>
          <w:rStyle w:val="FontStyle16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261B90" w:rsidRPr="002B0F36">
        <w:rPr>
          <w:rStyle w:val="FontStyle16"/>
        </w:rPr>
        <w:t>“</w:t>
      </w:r>
    </w:p>
    <w:p w14:paraId="3390782D" w14:textId="77777777" w:rsidR="0012785F" w:rsidRPr="002B0F36" w:rsidRDefault="0012785F" w:rsidP="0012785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</w:p>
    <w:p w14:paraId="485F29F8" w14:textId="77777777" w:rsidR="00261B90" w:rsidRPr="002B0F36" w:rsidRDefault="00261B90" w:rsidP="003F4611">
      <w:pPr>
        <w:pStyle w:val="Zkladntextodsazen2"/>
        <w:numPr>
          <w:ilvl w:val="0"/>
          <w:numId w:val="33"/>
        </w:numPr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2B0F36">
        <w:rPr>
          <w:sz w:val="24"/>
          <w:szCs w:val="24"/>
        </w:rPr>
        <w:t xml:space="preserve">Mění se </w:t>
      </w:r>
      <w:r w:rsidR="003F4611" w:rsidRPr="002B0F36">
        <w:rPr>
          <w:sz w:val="24"/>
          <w:szCs w:val="24"/>
        </w:rPr>
        <w:t>Č</w:t>
      </w:r>
      <w:r w:rsidRPr="002B0F36">
        <w:rPr>
          <w:sz w:val="24"/>
          <w:szCs w:val="24"/>
        </w:rPr>
        <w:t>l. 3. vyhlášky tak, že zní:</w:t>
      </w:r>
    </w:p>
    <w:p w14:paraId="05D9DDD9" w14:textId="122B6E02" w:rsidR="006E4730" w:rsidRPr="002B0F36" w:rsidRDefault="00261B90" w:rsidP="006E4730">
      <w:pPr>
        <w:pStyle w:val="Style10"/>
        <w:widowControl/>
        <w:spacing w:before="154" w:line="269" w:lineRule="exact"/>
        <w:ind w:right="5"/>
        <w:jc w:val="center"/>
        <w:rPr>
          <w:rStyle w:val="FontStyle15"/>
        </w:rPr>
      </w:pPr>
      <w:r w:rsidRPr="002B0F36">
        <w:rPr>
          <w:rStyle w:val="FontStyle15"/>
          <w:b w:val="0"/>
          <w:bCs w:val="0"/>
        </w:rPr>
        <w:t>„</w:t>
      </w:r>
      <w:r w:rsidR="006E4730" w:rsidRPr="002B0F36">
        <w:rPr>
          <w:rStyle w:val="FontStyle15"/>
        </w:rPr>
        <w:t>Č</w:t>
      </w:r>
      <w:r w:rsidR="008640E0" w:rsidRPr="002B0F36">
        <w:rPr>
          <w:rStyle w:val="FontStyle15"/>
        </w:rPr>
        <w:t>l</w:t>
      </w:r>
      <w:r w:rsidR="006E4730" w:rsidRPr="002B0F36">
        <w:rPr>
          <w:rStyle w:val="FontStyle15"/>
        </w:rPr>
        <w:t>. 3</w:t>
      </w:r>
    </w:p>
    <w:p w14:paraId="12207DA4" w14:textId="77777777" w:rsidR="006E4730" w:rsidRPr="002B0F36" w:rsidRDefault="006E4730" w:rsidP="00261B90">
      <w:pPr>
        <w:pStyle w:val="Style10"/>
        <w:widowControl/>
        <w:spacing w:line="269" w:lineRule="exact"/>
        <w:jc w:val="center"/>
        <w:rPr>
          <w:rStyle w:val="FontStyle15"/>
        </w:rPr>
      </w:pPr>
      <w:r w:rsidRPr="002B0F36">
        <w:rPr>
          <w:rStyle w:val="FontStyle15"/>
        </w:rPr>
        <w:t>Soustřeďování papíru, plastů, nápojových kartonů, skla, kovů, biologické odpady rostlinného původu, jedlých olejů a tuků, textilu</w:t>
      </w:r>
    </w:p>
    <w:p w14:paraId="0380ABB6" w14:textId="77777777" w:rsidR="006E4730" w:rsidRPr="002B0F36" w:rsidRDefault="006E4730" w:rsidP="006E4730">
      <w:pPr>
        <w:pStyle w:val="Style7"/>
        <w:widowControl/>
        <w:numPr>
          <w:ilvl w:val="0"/>
          <w:numId w:val="37"/>
        </w:numPr>
        <w:tabs>
          <w:tab w:val="left" w:pos="336"/>
        </w:tabs>
        <w:spacing w:before="274" w:line="274" w:lineRule="exact"/>
        <w:ind w:left="336" w:hanging="336"/>
        <w:rPr>
          <w:rStyle w:val="FontStyle16"/>
        </w:rPr>
      </w:pPr>
      <w:r w:rsidRPr="002B0F36">
        <w:rPr>
          <w:rStyle w:val="FontStyle16"/>
        </w:rPr>
        <w:t>Papír, plasty, nápojové kartony, sklo, kovy, biologické odpady, jedlé oleje a tuky, textil se soustřeďují do zvláštních sběrných nádob, kterými jsou sběrné nádoby - popelnice, kontejnery a jiné obdobné typizované sběrné nádoby, které jsou barevně odlišeny a označeny příslušnými nápisy.</w:t>
      </w:r>
    </w:p>
    <w:p w14:paraId="7A482241" w14:textId="77777777" w:rsidR="006E4730" w:rsidRPr="002B0F36" w:rsidRDefault="006E4730" w:rsidP="006E4730">
      <w:pPr>
        <w:pStyle w:val="Style7"/>
        <w:widowControl/>
        <w:numPr>
          <w:ilvl w:val="0"/>
          <w:numId w:val="37"/>
        </w:numPr>
        <w:tabs>
          <w:tab w:val="left" w:pos="336"/>
        </w:tabs>
        <w:spacing w:before="115" w:line="274" w:lineRule="exact"/>
        <w:jc w:val="left"/>
        <w:rPr>
          <w:rStyle w:val="FontStyle16"/>
        </w:rPr>
      </w:pPr>
      <w:r w:rsidRPr="002B0F36">
        <w:rPr>
          <w:rStyle w:val="FontStyle16"/>
        </w:rPr>
        <w:t>Zvláštní sběrné nádoby jsou barevně odlišeny a označeny příslušnými nápisy:</w:t>
      </w:r>
    </w:p>
    <w:p w14:paraId="3C572035" w14:textId="77777777" w:rsidR="006E4730" w:rsidRPr="002B0F36" w:rsidRDefault="006E4730" w:rsidP="006E4730">
      <w:pPr>
        <w:rPr>
          <w:sz w:val="2"/>
          <w:szCs w:val="2"/>
        </w:rPr>
      </w:pPr>
    </w:p>
    <w:p w14:paraId="757B702F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before="5"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biologické odpady rostlinného původu - barva hnědá</w:t>
      </w:r>
    </w:p>
    <w:p w14:paraId="1B8BC099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papír - barva modrá</w:t>
      </w:r>
    </w:p>
    <w:p w14:paraId="5B687B6E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plasty, včetně PET lahví - barva žlutá</w:t>
      </w:r>
    </w:p>
    <w:p w14:paraId="52542099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nápojové kartony - barva černá s oranžovým víkem</w:t>
      </w:r>
    </w:p>
    <w:p w14:paraId="00736E2B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sklo čiré - barva bílá</w:t>
      </w:r>
    </w:p>
    <w:p w14:paraId="67562044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lastRenderedPageBreak/>
        <w:t>sklo barevné - barva zelená</w:t>
      </w:r>
    </w:p>
    <w:p w14:paraId="6E20B6D4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before="5" w:line="274" w:lineRule="exact"/>
        <w:ind w:left="1056" w:hanging="336"/>
        <w:jc w:val="left"/>
        <w:rPr>
          <w:rStyle w:val="FontStyle16"/>
        </w:rPr>
      </w:pPr>
      <w:r w:rsidRPr="002B0F36">
        <w:rPr>
          <w:rStyle w:val="FontStyle16"/>
        </w:rPr>
        <w:t>kovy - černá s červeným víkem nebo barva modrá (velkoobjemový kontejner s nápisem KOVY)</w:t>
      </w:r>
    </w:p>
    <w:p w14:paraId="7812DE6B" w14:textId="77777777" w:rsidR="006E4730" w:rsidRPr="002B0F36" w:rsidRDefault="006E4730" w:rsidP="006E4730">
      <w:pPr>
        <w:pStyle w:val="Style7"/>
        <w:widowControl/>
        <w:numPr>
          <w:ilvl w:val="0"/>
          <w:numId w:val="38"/>
        </w:numPr>
        <w:tabs>
          <w:tab w:val="left" w:pos="1056"/>
        </w:tabs>
        <w:spacing w:line="274" w:lineRule="exact"/>
        <w:ind w:left="720"/>
        <w:jc w:val="left"/>
        <w:rPr>
          <w:rStyle w:val="FontStyle16"/>
        </w:rPr>
      </w:pPr>
      <w:r w:rsidRPr="002B0F36">
        <w:rPr>
          <w:rStyle w:val="FontStyle16"/>
        </w:rPr>
        <w:t>jedlé oleje a tuky - barva zelená</w:t>
      </w:r>
    </w:p>
    <w:p w14:paraId="06EBB55F" w14:textId="77777777" w:rsidR="006E4730" w:rsidRPr="002B0F36" w:rsidRDefault="006E4730" w:rsidP="006E4730">
      <w:pPr>
        <w:pStyle w:val="Style7"/>
        <w:widowControl/>
        <w:tabs>
          <w:tab w:val="left" w:pos="1056"/>
        </w:tabs>
        <w:spacing w:line="274" w:lineRule="exact"/>
        <w:ind w:left="720" w:firstLine="0"/>
        <w:jc w:val="left"/>
        <w:rPr>
          <w:rStyle w:val="FontStyle16"/>
        </w:rPr>
      </w:pPr>
      <w:r w:rsidRPr="002B0F36">
        <w:rPr>
          <w:rStyle w:val="FontStyle16"/>
        </w:rPr>
        <w:t>i.</w:t>
      </w:r>
      <w:r w:rsidRPr="002B0F36">
        <w:rPr>
          <w:rStyle w:val="FontStyle16"/>
        </w:rPr>
        <w:tab/>
        <w:t xml:space="preserve">textil - barva </w:t>
      </w:r>
      <w:r w:rsidR="003F4611" w:rsidRPr="002B0F36">
        <w:rPr>
          <w:rStyle w:val="FontStyle16"/>
        </w:rPr>
        <w:t>m</w:t>
      </w:r>
      <w:r w:rsidRPr="002B0F36">
        <w:rPr>
          <w:rStyle w:val="FontStyle16"/>
        </w:rPr>
        <w:t>odrá</w:t>
      </w:r>
    </w:p>
    <w:p w14:paraId="1B99B2CA" w14:textId="77777777" w:rsidR="006E4730" w:rsidRPr="002B0F36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5" w:line="274" w:lineRule="exact"/>
        <w:ind w:left="336" w:hanging="336"/>
        <w:rPr>
          <w:rStyle w:val="FontStyle16"/>
        </w:rPr>
      </w:pPr>
      <w:r w:rsidRPr="002B0F36">
        <w:rPr>
          <w:rStyle w:val="FontStyle16"/>
        </w:rPr>
        <w:t>Seznam stanovišť a popis zvláštních sběrných nádob tříděného komunálního odpadu uvedených v předchozích odstavcích včetně jejich umístění je k dispozici na webových stránkách města Pelhřimov a Technických služeb města Pelhřimova, p.</w:t>
      </w:r>
      <w:r w:rsidR="00BB7BF4" w:rsidRPr="002B0F36">
        <w:rPr>
          <w:rStyle w:val="FontStyle16"/>
        </w:rPr>
        <w:t xml:space="preserve"> </w:t>
      </w:r>
      <w:r w:rsidRPr="002B0F36">
        <w:rPr>
          <w:rStyle w:val="FontStyle16"/>
        </w:rPr>
        <w:t>o. (dále jen „TSmP"), popřípadě může být seznam zveřejněn i jiným vhodným způsobem.</w:t>
      </w:r>
    </w:p>
    <w:p w14:paraId="726CA87A" w14:textId="77777777" w:rsidR="006E4730" w:rsidRPr="002B0F36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0" w:line="274" w:lineRule="exact"/>
        <w:ind w:left="336" w:right="10" w:hanging="336"/>
        <w:rPr>
          <w:rStyle w:val="FontStyle16"/>
        </w:rPr>
      </w:pPr>
      <w:r w:rsidRPr="002B0F36">
        <w:rPr>
          <w:rStyle w:val="FontStyle16"/>
        </w:rPr>
        <w:t>Do zvláštních sběrných nádob je zakázáno ukládat jiné složky komunálních odpadů, než pro které jsou určeny.</w:t>
      </w:r>
    </w:p>
    <w:p w14:paraId="4D8839E5" w14:textId="77777777" w:rsidR="006E4730" w:rsidRPr="002B0F36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5" w:line="274" w:lineRule="exact"/>
        <w:ind w:left="336" w:right="5" w:hanging="336"/>
        <w:rPr>
          <w:rStyle w:val="FontStyle16"/>
        </w:rPr>
      </w:pPr>
      <w:r w:rsidRPr="002B0F36">
        <w:rPr>
          <w:rStyle w:val="FontStyle16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E21DD7B" w14:textId="77777777" w:rsidR="00BB7BF4" w:rsidRPr="002B0F36" w:rsidRDefault="00BB7BF4" w:rsidP="008640E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5" w:line="240" w:lineRule="auto"/>
        <w:ind w:left="335" w:right="6" w:hanging="335"/>
        <w:rPr>
          <w:sz w:val="22"/>
          <w:szCs w:val="22"/>
        </w:rPr>
      </w:pPr>
      <w:r w:rsidRPr="002B0F36">
        <w:t xml:space="preserve">Tříděný komunální odpad podle předchozích odstavců lze také odevzdávat ve sběrném dvoře, který je umístěn v Pelhřimově v Myslotínské ulici 1740, který je provozován TSmP (dále jen „sběrný dvůr“) a v rámci mobilního svozu odpadů provozovaného TSmP. Místa a termíny mobilního svozu odpadů budou oznámeny v dostatečném předstihu a náležitým způsobem (např. webové stránky města Pelhřimov </w:t>
      </w:r>
      <w:hyperlink r:id="rId7" w:history="1">
        <w:r w:rsidRPr="002B0F36">
          <w:rPr>
            <w:rStyle w:val="Hypertextovodkaz"/>
            <w:color w:val="auto"/>
            <w:u w:val="none"/>
          </w:rPr>
          <w:t>www.mupe.cz</w:t>
        </w:r>
      </w:hyperlink>
      <w:r w:rsidRPr="002B0F36">
        <w:t xml:space="preserve"> a TSmP www.tspe.cz, odpadový kalendář, místní tisk, apod., dále jen „vhodné informační nástroje“). </w:t>
      </w:r>
    </w:p>
    <w:p w14:paraId="743AA8F9" w14:textId="77777777" w:rsidR="00BB7BF4" w:rsidRPr="002B0F36" w:rsidRDefault="00BB7BF4" w:rsidP="00BB7BF4">
      <w:pPr>
        <w:pStyle w:val="Odstavecseseznamem"/>
        <w:tabs>
          <w:tab w:val="left" w:pos="993"/>
        </w:tabs>
        <w:spacing w:after="0"/>
        <w:ind w:left="284"/>
        <w:rPr>
          <w:rFonts w:ascii="Times New Roman" w:hAnsi="Times New Roman"/>
        </w:rPr>
      </w:pPr>
      <w:r w:rsidRPr="002B0F36">
        <w:rPr>
          <w:rFonts w:ascii="Times New Roman" w:hAnsi="Times New Roman"/>
        </w:rPr>
        <w:t>Kovy, papír a plasty je možno odevzdávat i do zařízení určených pro nakládání s odpady:</w:t>
      </w:r>
    </w:p>
    <w:p w14:paraId="09714AE0" w14:textId="77777777" w:rsidR="00BB7BF4" w:rsidRPr="002B0F36" w:rsidRDefault="00BB7BF4" w:rsidP="00BB7BF4">
      <w:pPr>
        <w:pStyle w:val="Odstavecseseznamem"/>
        <w:tabs>
          <w:tab w:val="left" w:pos="993"/>
        </w:tabs>
        <w:spacing w:after="0"/>
        <w:ind w:left="284"/>
        <w:rPr>
          <w:rFonts w:ascii="Times New Roman" w:hAnsi="Times New Roman"/>
        </w:rPr>
      </w:pPr>
      <w:r w:rsidRPr="002B0F36">
        <w:rPr>
          <w:rFonts w:ascii="Times New Roman" w:hAnsi="Times New Roman"/>
        </w:rPr>
        <w:t>EKOPRON-METAL, s.r.o., provozovna Nádražní ulice, Pelhřimov – kovy a papír</w:t>
      </w:r>
    </w:p>
    <w:p w14:paraId="5A5234F0" w14:textId="77777777" w:rsidR="006E4730" w:rsidRPr="002B0F36" w:rsidRDefault="00BB7BF4" w:rsidP="00BB7BF4">
      <w:pPr>
        <w:pStyle w:val="Style7"/>
        <w:widowControl/>
        <w:tabs>
          <w:tab w:val="left" w:pos="336"/>
        </w:tabs>
        <w:spacing w:line="240" w:lineRule="auto"/>
        <w:ind w:left="284" w:right="10" w:firstLine="0"/>
        <w:rPr>
          <w:rStyle w:val="FontStyle16"/>
        </w:rPr>
      </w:pPr>
      <w:r w:rsidRPr="002B0F36">
        <w:t>KOVOŠROT GROUP CZ, s.r.o. – provozovna Myslotínská ulice, Pelhřimov – kovy, papír a plasty</w:t>
      </w:r>
    </w:p>
    <w:p w14:paraId="1EC5B28E" w14:textId="77777777" w:rsidR="006E4730" w:rsidRPr="002B0F36" w:rsidRDefault="00BB7BF4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0" w:line="274" w:lineRule="exact"/>
        <w:ind w:left="336" w:right="5" w:hanging="336"/>
        <w:rPr>
          <w:rStyle w:val="FontStyle16"/>
        </w:rPr>
      </w:pPr>
      <w:r w:rsidRPr="002B0F36">
        <w:t>Pokud biologický odpad rostlinného původu není přednostně využit kompostováním na pozemku, k němuž má ten, kdo kompostování provádí, právo užívání (např. používání zahradních kompostérů) lze ho kromě výše uvedených možností nakládání s tímto odpadem, též odložit do zařízení k využívání tohoto odpadu - kompostárny umístěné v Pelhřimově v ul. Myslotínská 2490, kterou provozují TSmP.</w:t>
      </w:r>
      <w:r w:rsidR="008B7F70" w:rsidRPr="002B0F36">
        <w:t>“</w:t>
      </w:r>
    </w:p>
    <w:p w14:paraId="215FC37C" w14:textId="77777777" w:rsidR="006E4730" w:rsidRPr="002B0F36" w:rsidRDefault="006E4730" w:rsidP="00E877B3">
      <w:pPr>
        <w:jc w:val="center"/>
        <w:rPr>
          <w:b/>
          <w:sz w:val="24"/>
          <w:szCs w:val="24"/>
        </w:rPr>
      </w:pPr>
    </w:p>
    <w:p w14:paraId="71DB33FA" w14:textId="77777777" w:rsidR="008B7F70" w:rsidRPr="002B0F36" w:rsidRDefault="008B7F70" w:rsidP="003F4611">
      <w:pPr>
        <w:pStyle w:val="Zkladntextodsazen2"/>
        <w:numPr>
          <w:ilvl w:val="0"/>
          <w:numId w:val="33"/>
        </w:numPr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2B0F36">
        <w:rPr>
          <w:sz w:val="24"/>
          <w:szCs w:val="24"/>
        </w:rPr>
        <w:t xml:space="preserve">Mění se </w:t>
      </w:r>
      <w:r w:rsidR="003F4611" w:rsidRPr="002B0F36">
        <w:rPr>
          <w:sz w:val="24"/>
          <w:szCs w:val="24"/>
        </w:rPr>
        <w:t>Č</w:t>
      </w:r>
      <w:r w:rsidRPr="002B0F36">
        <w:rPr>
          <w:sz w:val="24"/>
          <w:szCs w:val="24"/>
        </w:rPr>
        <w:t>l. 8. vyhlášky tak, že zní:</w:t>
      </w:r>
    </w:p>
    <w:p w14:paraId="0165E60D" w14:textId="77777777" w:rsidR="006E4730" w:rsidRPr="002B0F36" w:rsidRDefault="008B7F70" w:rsidP="006E4730">
      <w:pPr>
        <w:pStyle w:val="Style10"/>
        <w:widowControl/>
        <w:spacing w:before="34" w:line="274" w:lineRule="exact"/>
        <w:ind w:right="5"/>
        <w:jc w:val="center"/>
        <w:rPr>
          <w:rStyle w:val="FontStyle15"/>
        </w:rPr>
      </w:pPr>
      <w:r w:rsidRPr="002B0F36">
        <w:rPr>
          <w:rStyle w:val="FontStyle15"/>
          <w:b w:val="0"/>
          <w:bCs w:val="0"/>
        </w:rPr>
        <w:t>„</w:t>
      </w:r>
      <w:r w:rsidR="006E4730" w:rsidRPr="002B0F36">
        <w:rPr>
          <w:rStyle w:val="FontStyle15"/>
        </w:rPr>
        <w:t>Čl. 8</w:t>
      </w:r>
    </w:p>
    <w:p w14:paraId="3D372750" w14:textId="77777777" w:rsidR="006E4730" w:rsidRPr="002B0F36" w:rsidRDefault="006E4730" w:rsidP="006E4730">
      <w:pPr>
        <w:pStyle w:val="Style10"/>
        <w:widowControl/>
        <w:spacing w:line="274" w:lineRule="exact"/>
        <w:jc w:val="center"/>
        <w:rPr>
          <w:rStyle w:val="FontStyle15"/>
        </w:rPr>
      </w:pPr>
      <w:r w:rsidRPr="002B0F36">
        <w:rPr>
          <w:rStyle w:val="FontStyle15"/>
        </w:rPr>
        <w:t>Nakládání s výrobky s ukončenou životností v rámci služby pro výrobce</w:t>
      </w:r>
    </w:p>
    <w:p w14:paraId="07EBF073" w14:textId="77777777" w:rsidR="006E4730" w:rsidRPr="002B0F36" w:rsidRDefault="006E4730" w:rsidP="006E4730">
      <w:pPr>
        <w:pStyle w:val="Style10"/>
        <w:widowControl/>
        <w:spacing w:line="274" w:lineRule="exact"/>
        <w:ind w:right="5"/>
        <w:jc w:val="center"/>
        <w:rPr>
          <w:rStyle w:val="FontStyle15"/>
        </w:rPr>
      </w:pPr>
      <w:r w:rsidRPr="002B0F36">
        <w:rPr>
          <w:rStyle w:val="FontStyle15"/>
        </w:rPr>
        <w:t>(zpětný odběr)</w:t>
      </w:r>
    </w:p>
    <w:p w14:paraId="01741631" w14:textId="77777777" w:rsidR="006E4730" w:rsidRPr="002B0F36" w:rsidRDefault="006E4730" w:rsidP="006E4730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14:paraId="5D8401EF" w14:textId="77777777" w:rsidR="006E4730" w:rsidRPr="002B0F36" w:rsidRDefault="006E4730" w:rsidP="006E4730">
      <w:pPr>
        <w:pStyle w:val="Style4"/>
        <w:widowControl/>
        <w:spacing w:before="34" w:line="274" w:lineRule="exact"/>
        <w:jc w:val="left"/>
        <w:rPr>
          <w:rStyle w:val="FontStyle16"/>
        </w:rPr>
      </w:pPr>
      <w:r w:rsidRPr="002B0F36">
        <w:rPr>
          <w:rStyle w:val="FontStyle16"/>
        </w:rPr>
        <w:t>1)  Obec v rámci služby pro výrobce nakládá s těmito výrobky s ukončenou životností:</w:t>
      </w:r>
    </w:p>
    <w:p w14:paraId="2C4B0724" w14:textId="77777777" w:rsidR="006E4730" w:rsidRPr="002B0F36" w:rsidRDefault="006E4730" w:rsidP="006E4730">
      <w:pPr>
        <w:pStyle w:val="Style8"/>
        <w:widowControl/>
        <w:numPr>
          <w:ilvl w:val="0"/>
          <w:numId w:val="40"/>
        </w:numPr>
        <w:tabs>
          <w:tab w:val="left" w:pos="965"/>
        </w:tabs>
        <w:spacing w:line="274" w:lineRule="exact"/>
        <w:ind w:left="715"/>
        <w:rPr>
          <w:rStyle w:val="FontStyle16"/>
        </w:rPr>
      </w:pPr>
      <w:r w:rsidRPr="002B0F36">
        <w:rPr>
          <w:rStyle w:val="FontStyle16"/>
        </w:rPr>
        <w:t>elektrozařízení</w:t>
      </w:r>
    </w:p>
    <w:p w14:paraId="555DC2CC" w14:textId="77777777" w:rsidR="006E4730" w:rsidRPr="002B0F36" w:rsidRDefault="006E4730" w:rsidP="006E4730">
      <w:pPr>
        <w:pStyle w:val="Style8"/>
        <w:widowControl/>
        <w:numPr>
          <w:ilvl w:val="0"/>
          <w:numId w:val="40"/>
        </w:numPr>
        <w:tabs>
          <w:tab w:val="left" w:pos="965"/>
        </w:tabs>
        <w:spacing w:line="274" w:lineRule="exact"/>
        <w:ind w:left="715"/>
        <w:rPr>
          <w:rStyle w:val="FontStyle16"/>
        </w:rPr>
      </w:pPr>
      <w:r w:rsidRPr="002B0F36">
        <w:rPr>
          <w:rStyle w:val="FontStyle16"/>
        </w:rPr>
        <w:t>baterie a akumulátory</w:t>
      </w:r>
    </w:p>
    <w:p w14:paraId="0906FA55" w14:textId="77777777" w:rsidR="006E4730" w:rsidRPr="002B0F36" w:rsidRDefault="006E4730" w:rsidP="006E4730">
      <w:pPr>
        <w:pStyle w:val="Style8"/>
        <w:widowControl/>
        <w:numPr>
          <w:ilvl w:val="0"/>
          <w:numId w:val="40"/>
        </w:numPr>
        <w:tabs>
          <w:tab w:val="left" w:pos="965"/>
        </w:tabs>
        <w:spacing w:line="274" w:lineRule="exact"/>
        <w:ind w:left="715"/>
        <w:rPr>
          <w:rStyle w:val="FontStyle16"/>
        </w:rPr>
      </w:pPr>
      <w:r w:rsidRPr="002B0F36">
        <w:rPr>
          <w:rStyle w:val="FontStyle16"/>
        </w:rPr>
        <w:t>pneumatiky</w:t>
      </w:r>
    </w:p>
    <w:p w14:paraId="6BBE49C5" w14:textId="2BC2723D" w:rsidR="006E4730" w:rsidRPr="002B0F36" w:rsidRDefault="006E4730" w:rsidP="008B5DBA">
      <w:pPr>
        <w:pStyle w:val="Style6"/>
        <w:widowControl/>
        <w:numPr>
          <w:ilvl w:val="0"/>
          <w:numId w:val="34"/>
        </w:numPr>
        <w:spacing w:before="53" w:line="274" w:lineRule="exact"/>
        <w:ind w:left="426" w:hanging="426"/>
        <w:rPr>
          <w:rStyle w:val="FontStyle16"/>
        </w:rPr>
      </w:pPr>
      <w:r w:rsidRPr="002B0F36">
        <w:rPr>
          <w:rStyle w:val="FontStyle16"/>
        </w:rPr>
        <w:t>Výrobky s ukončenou životností uvedené v odst. 1 lze předávat ve sběrném dvoře. Drobné elektrozařízení lze odkládat do zvláštních sběrných nádob červené barvy označené nápisem elektrozařízení, které jsou umístěny na stanovištích zvláštních nádob tříděného komunálního odpadu.</w:t>
      </w:r>
      <w:r w:rsidR="003F4611" w:rsidRPr="002B0F36">
        <w:rPr>
          <w:rStyle w:val="FontStyle16"/>
        </w:rPr>
        <w:t>“</w:t>
      </w:r>
    </w:p>
    <w:p w14:paraId="7E2101EC" w14:textId="77777777" w:rsidR="003F4611" w:rsidRPr="002B0F36" w:rsidRDefault="003F4611" w:rsidP="003F4611">
      <w:pPr>
        <w:pStyle w:val="Style7"/>
        <w:widowControl/>
        <w:tabs>
          <w:tab w:val="left" w:pos="350"/>
        </w:tabs>
        <w:spacing w:before="139" w:line="240" w:lineRule="auto"/>
        <w:ind w:firstLine="0"/>
        <w:jc w:val="left"/>
        <w:rPr>
          <w:rStyle w:val="FontStyle16"/>
        </w:rPr>
      </w:pPr>
    </w:p>
    <w:p w14:paraId="5353C893" w14:textId="77777777" w:rsidR="006E4730" w:rsidRPr="002B0F36" w:rsidRDefault="006E4730" w:rsidP="003F4611">
      <w:pPr>
        <w:pStyle w:val="Zkladntextodsazen2"/>
        <w:numPr>
          <w:ilvl w:val="0"/>
          <w:numId w:val="33"/>
        </w:numPr>
        <w:spacing w:before="120" w:after="0" w:line="240" w:lineRule="auto"/>
        <w:ind w:left="567" w:hanging="567"/>
        <w:jc w:val="both"/>
        <w:rPr>
          <w:rStyle w:val="FontStyle16"/>
          <w:sz w:val="24"/>
          <w:szCs w:val="24"/>
        </w:rPr>
      </w:pPr>
      <w:r w:rsidRPr="002B0F36">
        <w:rPr>
          <w:rStyle w:val="FontStyle16"/>
          <w:sz w:val="24"/>
          <w:szCs w:val="24"/>
        </w:rPr>
        <w:t xml:space="preserve">Tato vyhláška nabývá účinnosti </w:t>
      </w:r>
      <w:r w:rsidR="003F4611" w:rsidRPr="002B0F36">
        <w:rPr>
          <w:sz w:val="24"/>
          <w:szCs w:val="24"/>
        </w:rPr>
        <w:t>počátkem patnáctého dne následujícího po dni jejího vyhlášení.</w:t>
      </w:r>
    </w:p>
    <w:p w14:paraId="50428365" w14:textId="77777777" w:rsidR="006E4730" w:rsidRPr="002B0F36" w:rsidRDefault="006E4730" w:rsidP="006E4730">
      <w:pPr>
        <w:pStyle w:val="Style4"/>
        <w:widowControl/>
        <w:spacing w:line="240" w:lineRule="exact"/>
        <w:ind w:left="4618"/>
        <w:rPr>
          <w:sz w:val="20"/>
          <w:szCs w:val="20"/>
        </w:rPr>
      </w:pPr>
    </w:p>
    <w:p w14:paraId="22B7AB49" w14:textId="77777777" w:rsidR="003F4611" w:rsidRPr="002B0F36" w:rsidRDefault="003F4611" w:rsidP="006E4730">
      <w:pPr>
        <w:pStyle w:val="Style4"/>
        <w:widowControl/>
        <w:spacing w:line="240" w:lineRule="exact"/>
        <w:ind w:left="4618"/>
        <w:rPr>
          <w:sz w:val="20"/>
          <w:szCs w:val="20"/>
        </w:rPr>
      </w:pPr>
    </w:p>
    <w:p w14:paraId="7B32D114" w14:textId="77777777" w:rsidR="003F4611" w:rsidRPr="002B0F36" w:rsidRDefault="003F4611" w:rsidP="006E4730">
      <w:pPr>
        <w:pStyle w:val="Style4"/>
        <w:widowControl/>
        <w:spacing w:line="240" w:lineRule="exact"/>
        <w:ind w:left="4618"/>
        <w:rPr>
          <w:sz w:val="20"/>
          <w:szCs w:val="20"/>
        </w:rPr>
      </w:pPr>
    </w:p>
    <w:p w14:paraId="678BE9FE" w14:textId="77777777" w:rsidR="006E4730" w:rsidRPr="002B0F36" w:rsidRDefault="006E4730" w:rsidP="006E4730">
      <w:pPr>
        <w:pStyle w:val="Style4"/>
        <w:widowControl/>
        <w:tabs>
          <w:tab w:val="left" w:pos="6979"/>
        </w:tabs>
        <w:spacing w:before="10" w:line="278" w:lineRule="exact"/>
        <w:ind w:left="710"/>
        <w:rPr>
          <w:rStyle w:val="FontStyle16"/>
        </w:rPr>
      </w:pPr>
      <w:r w:rsidRPr="002B0F36">
        <w:rPr>
          <w:rStyle w:val="FontStyle16"/>
        </w:rPr>
        <w:t>Ladislav Med</w:t>
      </w:r>
      <w:r w:rsidR="00A81ADE" w:rsidRPr="002B0F36">
        <w:rPr>
          <w:rStyle w:val="FontStyle16"/>
        </w:rPr>
        <w:t xml:space="preserve">, v.r.                                                                                  </w:t>
      </w:r>
      <w:r w:rsidRPr="002B0F36">
        <w:rPr>
          <w:rStyle w:val="FontStyle16"/>
        </w:rPr>
        <w:t>Ing. Josef Koch</w:t>
      </w:r>
      <w:r w:rsidR="00A81ADE" w:rsidRPr="002B0F36">
        <w:rPr>
          <w:rStyle w:val="FontStyle16"/>
        </w:rPr>
        <w:t>, v.r.</w:t>
      </w:r>
    </w:p>
    <w:p w14:paraId="7D9CADAE" w14:textId="77777777" w:rsidR="006E4730" w:rsidRPr="002B0F36" w:rsidRDefault="006E4730" w:rsidP="006E4730">
      <w:pPr>
        <w:pStyle w:val="Style4"/>
        <w:widowControl/>
        <w:spacing w:line="278" w:lineRule="exact"/>
        <w:ind w:left="725"/>
        <w:jc w:val="left"/>
        <w:rPr>
          <w:rStyle w:val="FontStyle16"/>
        </w:rPr>
      </w:pPr>
      <w:r w:rsidRPr="002B0F36">
        <w:rPr>
          <w:rStyle w:val="FontStyle16"/>
        </w:rPr>
        <w:t xml:space="preserve">starosta </w:t>
      </w:r>
      <w:r w:rsidR="003F4611" w:rsidRPr="002B0F36">
        <w:rPr>
          <w:rStyle w:val="FontStyle16"/>
        </w:rPr>
        <w:t>města</w:t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  <w:t xml:space="preserve">           místostarosta</w:t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  <w:r w:rsidRPr="002B0F36">
        <w:rPr>
          <w:rStyle w:val="FontStyle16"/>
        </w:rPr>
        <w:tab/>
      </w:r>
    </w:p>
    <w:sectPr w:rsidR="006E4730" w:rsidRPr="002B0F36">
      <w:footerReference w:type="default" r:id="rId8"/>
      <w:pgSz w:w="11906" w:h="16838"/>
      <w:pgMar w:top="1134" w:right="1134" w:bottom="1134" w:left="1134" w:header="708" w:footer="56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A86E" w14:textId="77777777" w:rsidR="008A7359" w:rsidRDefault="008A7359">
      <w:r>
        <w:separator/>
      </w:r>
    </w:p>
  </w:endnote>
  <w:endnote w:type="continuationSeparator" w:id="0">
    <w:p w14:paraId="08512998" w14:textId="77777777" w:rsidR="008A7359" w:rsidRDefault="008A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69CE" w14:textId="77777777" w:rsidR="00777369" w:rsidRDefault="00777369">
    <w:pPr>
      <w:pStyle w:val="Zpat"/>
      <w:spacing w:before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DF6F" w14:textId="77777777" w:rsidR="008A7359" w:rsidRDefault="008A7359">
      <w:r>
        <w:separator/>
      </w:r>
    </w:p>
  </w:footnote>
  <w:footnote w:type="continuationSeparator" w:id="0">
    <w:p w14:paraId="78E8F142" w14:textId="77777777" w:rsidR="008A7359" w:rsidRDefault="008A7359">
      <w:r>
        <w:continuationSeparator/>
      </w:r>
    </w:p>
  </w:footnote>
  <w:footnote w:id="1">
    <w:p w14:paraId="6714A557" w14:textId="77777777" w:rsidR="0012785F" w:rsidRDefault="0012785F" w:rsidP="0012785F">
      <w:pPr>
        <w:pStyle w:val="Style5"/>
        <w:widowControl/>
      </w:pPr>
      <w:r>
        <w:rPr>
          <w:rStyle w:val="FontStyle13"/>
          <w:vertAlign w:val="superscript"/>
        </w:rPr>
        <w:footnoteRef/>
      </w:r>
      <w:r>
        <w:rPr>
          <w:rStyle w:val="FontStyle13"/>
        </w:rPr>
        <w:t xml:space="preserve"> § 61 zákona o odpadech</w:t>
      </w:r>
    </w:p>
  </w:footnote>
  <w:footnote w:id="2">
    <w:p w14:paraId="1E17F81D" w14:textId="77777777" w:rsidR="0012785F" w:rsidRDefault="0012785F" w:rsidP="0012785F">
      <w:pPr>
        <w:pStyle w:val="Style5"/>
        <w:widowControl/>
      </w:pPr>
      <w:r>
        <w:rPr>
          <w:rStyle w:val="FontStyle13"/>
          <w:vertAlign w:val="superscript"/>
        </w:rPr>
        <w:footnoteRef/>
      </w:r>
      <w:r>
        <w:rPr>
          <w:rStyle w:val="FontStyle13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sz w:val="24"/>
        <w:szCs w:val="18"/>
        <w:shd w:val="clear" w:color="auto" w:fill="auto"/>
        <w:lang w:val="cs-CZ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-1505"/>
        </w:tabs>
        <w:ind w:left="502" w:hanging="360"/>
      </w:pPr>
      <w:rPr>
        <w:rFonts w:ascii="Trebuchet MS" w:hAnsi="Trebuchet MS" w:cs="Trebuchet MS"/>
        <w:sz w:val="24"/>
        <w:szCs w:val="18"/>
        <w:shd w:val="clear" w:color="auto" w:fill="auto"/>
        <w:lang w:val="cs-CZ" w:eastAsia="ar-SA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18"/>
        <w:lang w:val="cs-CZ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-654"/>
        </w:tabs>
        <w:ind w:left="786" w:hanging="360"/>
      </w:pPr>
      <w:rPr>
        <w:rFonts w:ascii="Times New Roman" w:hAnsi="Times New Roman" w:cs="Times New Roman"/>
        <w:b w:val="0"/>
        <w:sz w:val="24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 w:hint="default"/>
        <w:b w:val="0"/>
        <w:bCs w:val="0"/>
        <w:sz w:val="24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/>
        <w:b w:val="0"/>
        <w:bCs w:val="0"/>
        <w:sz w:val="24"/>
        <w:szCs w:val="18"/>
        <w:shd w:val="clear" w:color="auto" w:fil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(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 w:hint="default"/>
        <w:b w:val="0"/>
        <w:bCs w:val="0"/>
        <w:color w:val="0070C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  <w:b w:val="0"/>
        <w:sz w:val="24"/>
        <w:szCs w:val="1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 w:hint="default"/>
        <w:sz w:val="24"/>
        <w:szCs w:val="18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44FED"/>
    <w:multiLevelType w:val="singleLevel"/>
    <w:tmpl w:val="1C0A15DC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576D5B"/>
    <w:multiLevelType w:val="hybridMultilevel"/>
    <w:tmpl w:val="7A50CAF4"/>
    <w:lvl w:ilvl="0" w:tplc="E730BE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B3E82"/>
    <w:multiLevelType w:val="hybridMultilevel"/>
    <w:tmpl w:val="296A30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1ED0550E"/>
    <w:lvl w:ilvl="0" w:tplc="630AE5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CE622C5"/>
    <w:multiLevelType w:val="singleLevel"/>
    <w:tmpl w:val="1ED65174"/>
    <w:lvl w:ilvl="0">
      <w:start w:val="1"/>
      <w:numFmt w:val="lowerLetter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2EFF22FF"/>
    <w:multiLevelType w:val="hybridMultilevel"/>
    <w:tmpl w:val="F84E4912"/>
    <w:lvl w:ilvl="0" w:tplc="90DCB88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6C8"/>
    <w:multiLevelType w:val="hybridMultilevel"/>
    <w:tmpl w:val="B1267342"/>
    <w:lvl w:ilvl="0" w:tplc="6734BF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CE2074"/>
    <w:multiLevelType w:val="singleLevel"/>
    <w:tmpl w:val="949A6B7A"/>
    <w:lvl w:ilvl="0">
      <w:start w:val="3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A658D"/>
    <w:multiLevelType w:val="singleLevel"/>
    <w:tmpl w:val="37925920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6E0EEE"/>
    <w:multiLevelType w:val="singleLevel"/>
    <w:tmpl w:val="C5DE5458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9F5488B"/>
    <w:multiLevelType w:val="singleLevel"/>
    <w:tmpl w:val="6D2807DA"/>
    <w:lvl w:ilvl="0">
      <w:start w:val="1"/>
      <w:numFmt w:val="lowerLetter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AF2480D"/>
    <w:multiLevelType w:val="hybridMultilevel"/>
    <w:tmpl w:val="78B6471E"/>
    <w:lvl w:ilvl="0" w:tplc="F4F4E128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65247"/>
    <w:multiLevelType w:val="hybridMultilevel"/>
    <w:tmpl w:val="C728D04C"/>
    <w:lvl w:ilvl="0" w:tplc="1D4C52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A02C5"/>
    <w:multiLevelType w:val="hybridMultilevel"/>
    <w:tmpl w:val="B6DA78FE"/>
    <w:lvl w:ilvl="0" w:tplc="41EC6D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4D5008"/>
    <w:multiLevelType w:val="singleLevel"/>
    <w:tmpl w:val="0D84FCC0"/>
    <w:lvl w:ilvl="0">
      <w:start w:val="1"/>
      <w:numFmt w:val="lowerLetter"/>
      <w:lvlText w:val="%1)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E607D9C"/>
    <w:multiLevelType w:val="singleLevel"/>
    <w:tmpl w:val="2580FD72"/>
    <w:lvl w:ilvl="0">
      <w:start w:val="2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643924858">
    <w:abstractNumId w:val="0"/>
  </w:num>
  <w:num w:numId="2" w16cid:durableId="2071614642">
    <w:abstractNumId w:val="1"/>
  </w:num>
  <w:num w:numId="3" w16cid:durableId="1851479518">
    <w:abstractNumId w:val="2"/>
  </w:num>
  <w:num w:numId="4" w16cid:durableId="1708067699">
    <w:abstractNumId w:val="3"/>
  </w:num>
  <w:num w:numId="5" w16cid:durableId="1786729307">
    <w:abstractNumId w:val="4"/>
  </w:num>
  <w:num w:numId="6" w16cid:durableId="542786210">
    <w:abstractNumId w:val="5"/>
  </w:num>
  <w:num w:numId="7" w16cid:durableId="1978147396">
    <w:abstractNumId w:val="6"/>
  </w:num>
  <w:num w:numId="8" w16cid:durableId="920142694">
    <w:abstractNumId w:val="7"/>
  </w:num>
  <w:num w:numId="9" w16cid:durableId="1576666027">
    <w:abstractNumId w:val="8"/>
  </w:num>
  <w:num w:numId="10" w16cid:durableId="1421830078">
    <w:abstractNumId w:val="9"/>
  </w:num>
  <w:num w:numId="11" w16cid:durableId="836194618">
    <w:abstractNumId w:val="10"/>
  </w:num>
  <w:num w:numId="12" w16cid:durableId="1679038614">
    <w:abstractNumId w:val="11"/>
  </w:num>
  <w:num w:numId="13" w16cid:durableId="1584485830">
    <w:abstractNumId w:val="37"/>
  </w:num>
  <w:num w:numId="14" w16cid:durableId="1643850278">
    <w:abstractNumId w:val="33"/>
  </w:num>
  <w:num w:numId="15" w16cid:durableId="669912658">
    <w:abstractNumId w:val="20"/>
  </w:num>
  <w:num w:numId="16" w16cid:durableId="465466328">
    <w:abstractNumId w:val="13"/>
  </w:num>
  <w:num w:numId="17" w16cid:durableId="1918830206">
    <w:abstractNumId w:val="34"/>
  </w:num>
  <w:num w:numId="18" w16cid:durableId="1110785003">
    <w:abstractNumId w:val="31"/>
  </w:num>
  <w:num w:numId="19" w16cid:durableId="1511215072">
    <w:abstractNumId w:val="24"/>
  </w:num>
  <w:num w:numId="20" w16cid:durableId="77942773">
    <w:abstractNumId w:val="16"/>
  </w:num>
  <w:num w:numId="21" w16cid:durableId="577793123">
    <w:abstractNumId w:val="12"/>
  </w:num>
  <w:num w:numId="22" w16cid:durableId="1448502345">
    <w:abstractNumId w:val="28"/>
  </w:num>
  <w:num w:numId="23" w16cid:durableId="411783215">
    <w:abstractNumId w:val="18"/>
  </w:num>
  <w:num w:numId="24" w16cid:durableId="1884823553">
    <w:abstractNumId w:val="14"/>
  </w:num>
  <w:num w:numId="25" w16cid:durableId="27223627">
    <w:abstractNumId w:val="26"/>
  </w:num>
  <w:num w:numId="26" w16cid:durableId="431098098">
    <w:abstractNumId w:val="22"/>
  </w:num>
  <w:num w:numId="27" w16cid:durableId="1526019252">
    <w:abstractNumId w:val="35"/>
  </w:num>
  <w:num w:numId="28" w16cid:durableId="7774052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55410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5535252">
    <w:abstractNumId w:val="23"/>
  </w:num>
  <w:num w:numId="31" w16cid:durableId="1008828084">
    <w:abstractNumId w:val="36"/>
  </w:num>
  <w:num w:numId="32" w16cid:durableId="286130709">
    <w:abstractNumId w:val="19"/>
  </w:num>
  <w:num w:numId="33" w16cid:durableId="145706351">
    <w:abstractNumId w:val="17"/>
  </w:num>
  <w:num w:numId="34" w16cid:durableId="1741295459">
    <w:abstractNumId w:val="29"/>
    <w:lvlOverride w:ilvl="0">
      <w:startOverride w:val="1"/>
    </w:lvlOverride>
  </w:num>
  <w:num w:numId="35" w16cid:durableId="80952069">
    <w:abstractNumId w:val="38"/>
    <w:lvlOverride w:ilvl="0">
      <w:startOverride w:val="1"/>
    </w:lvlOverride>
  </w:num>
  <w:num w:numId="36" w16cid:durableId="1965842189">
    <w:abstractNumId w:val="39"/>
    <w:lvlOverride w:ilvl="0">
      <w:startOverride w:val="2"/>
    </w:lvlOverride>
  </w:num>
  <w:num w:numId="37" w16cid:durableId="792017533">
    <w:abstractNumId w:val="27"/>
    <w:lvlOverride w:ilvl="0">
      <w:startOverride w:val="1"/>
    </w:lvlOverride>
  </w:num>
  <w:num w:numId="38" w16cid:durableId="351734387">
    <w:abstractNumId w:val="30"/>
    <w:lvlOverride w:ilvl="0">
      <w:startOverride w:val="1"/>
    </w:lvlOverride>
  </w:num>
  <w:num w:numId="39" w16cid:durableId="81420093">
    <w:abstractNumId w:val="25"/>
    <w:lvlOverride w:ilvl="0">
      <w:startOverride w:val="3"/>
    </w:lvlOverride>
  </w:num>
  <w:num w:numId="40" w16cid:durableId="1648123356">
    <w:abstractNumId w:val="21"/>
    <w:lvlOverride w:ilvl="0">
      <w:startOverride w:val="1"/>
    </w:lvlOverride>
  </w:num>
  <w:num w:numId="41" w16cid:durableId="17946906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A9"/>
    <w:rsid w:val="0006464F"/>
    <w:rsid w:val="00072756"/>
    <w:rsid w:val="00076EC4"/>
    <w:rsid w:val="00096FFF"/>
    <w:rsid w:val="000A46B2"/>
    <w:rsid w:val="000A542E"/>
    <w:rsid w:val="000D5D13"/>
    <w:rsid w:val="001271BC"/>
    <w:rsid w:val="0012785F"/>
    <w:rsid w:val="001674EA"/>
    <w:rsid w:val="00172BBA"/>
    <w:rsid w:val="001757AB"/>
    <w:rsid w:val="00196850"/>
    <w:rsid w:val="001D650A"/>
    <w:rsid w:val="001E421A"/>
    <w:rsid w:val="002021F2"/>
    <w:rsid w:val="002244CB"/>
    <w:rsid w:val="00241A07"/>
    <w:rsid w:val="00261B90"/>
    <w:rsid w:val="002B0F36"/>
    <w:rsid w:val="002C043F"/>
    <w:rsid w:val="002E3438"/>
    <w:rsid w:val="002F1A34"/>
    <w:rsid w:val="002F292C"/>
    <w:rsid w:val="003223B8"/>
    <w:rsid w:val="003A601C"/>
    <w:rsid w:val="003A6322"/>
    <w:rsid w:val="003A6C78"/>
    <w:rsid w:val="003A7D1D"/>
    <w:rsid w:val="003B7DB0"/>
    <w:rsid w:val="003F4611"/>
    <w:rsid w:val="00417F90"/>
    <w:rsid w:val="0043514D"/>
    <w:rsid w:val="00545873"/>
    <w:rsid w:val="00571EDA"/>
    <w:rsid w:val="005C2BE8"/>
    <w:rsid w:val="006101A7"/>
    <w:rsid w:val="006361DF"/>
    <w:rsid w:val="00645F67"/>
    <w:rsid w:val="00653CF0"/>
    <w:rsid w:val="00682C94"/>
    <w:rsid w:val="00691B39"/>
    <w:rsid w:val="006A1742"/>
    <w:rsid w:val="006A215C"/>
    <w:rsid w:val="006A5474"/>
    <w:rsid w:val="006D4698"/>
    <w:rsid w:val="006E4730"/>
    <w:rsid w:val="00720BDB"/>
    <w:rsid w:val="007728FE"/>
    <w:rsid w:val="00777369"/>
    <w:rsid w:val="007A26A6"/>
    <w:rsid w:val="007A4B41"/>
    <w:rsid w:val="007B0063"/>
    <w:rsid w:val="00804B59"/>
    <w:rsid w:val="00820AB9"/>
    <w:rsid w:val="008611E3"/>
    <w:rsid w:val="008640E0"/>
    <w:rsid w:val="008965B4"/>
    <w:rsid w:val="008A7359"/>
    <w:rsid w:val="008A759F"/>
    <w:rsid w:val="008B5DBA"/>
    <w:rsid w:val="008B7F70"/>
    <w:rsid w:val="008F1237"/>
    <w:rsid w:val="009001A2"/>
    <w:rsid w:val="00926C34"/>
    <w:rsid w:val="009942D2"/>
    <w:rsid w:val="009A403B"/>
    <w:rsid w:val="00A81ADE"/>
    <w:rsid w:val="00A9586E"/>
    <w:rsid w:val="00AC5FA6"/>
    <w:rsid w:val="00AF55D9"/>
    <w:rsid w:val="00B53436"/>
    <w:rsid w:val="00B60007"/>
    <w:rsid w:val="00B84487"/>
    <w:rsid w:val="00BB7BF4"/>
    <w:rsid w:val="00BC6D8A"/>
    <w:rsid w:val="00C2295B"/>
    <w:rsid w:val="00C3242A"/>
    <w:rsid w:val="00C546C1"/>
    <w:rsid w:val="00C64883"/>
    <w:rsid w:val="00C947D0"/>
    <w:rsid w:val="00CC7753"/>
    <w:rsid w:val="00D071CF"/>
    <w:rsid w:val="00D3412D"/>
    <w:rsid w:val="00D46753"/>
    <w:rsid w:val="00D63FAC"/>
    <w:rsid w:val="00D8743B"/>
    <w:rsid w:val="00DF4889"/>
    <w:rsid w:val="00DF5C2D"/>
    <w:rsid w:val="00E01C06"/>
    <w:rsid w:val="00E20AA9"/>
    <w:rsid w:val="00E25F51"/>
    <w:rsid w:val="00E27F07"/>
    <w:rsid w:val="00E315FD"/>
    <w:rsid w:val="00E71D33"/>
    <w:rsid w:val="00E83CAF"/>
    <w:rsid w:val="00E877B3"/>
    <w:rsid w:val="00EC1364"/>
    <w:rsid w:val="00EF060D"/>
    <w:rsid w:val="00F07F5A"/>
    <w:rsid w:val="00F11ED4"/>
    <w:rsid w:val="00F87177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789259"/>
  <w15:chartTrackingRefBased/>
  <w15:docId w15:val="{1C5304D8-0C03-4AB4-9CA7-6CA6BE06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link w:val="Nadpis2Char"/>
    <w:qFormat/>
    <w:rsid w:val="00E877B3"/>
    <w:pPr>
      <w:keepNext/>
      <w:suppressAutoHyphens w:val="0"/>
      <w:jc w:val="both"/>
      <w:outlineLvl w:val="1"/>
    </w:pPr>
    <w:rPr>
      <w:sz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color w:val="auto"/>
      <w:sz w:val="24"/>
      <w:szCs w:val="18"/>
      <w:shd w:val="clear" w:color="auto" w:fill="auto"/>
      <w:lang w:val="cs-CZ" w:eastAsia="ar-SA" w:bidi="ar-SA"/>
    </w:rPr>
  </w:style>
  <w:style w:type="character" w:customStyle="1" w:styleId="WW8Num1z1">
    <w:name w:val="WW8Num1z1"/>
    <w:rPr>
      <w:rFonts w:ascii="Trebuchet MS" w:hAnsi="Trebuchet MS" w:cs="Trebuchet MS"/>
      <w:color w:val="auto"/>
      <w:sz w:val="24"/>
      <w:szCs w:val="18"/>
      <w:shd w:val="clear" w:color="auto" w:fill="auto"/>
      <w:lang w:val="cs-CZ" w:eastAsia="ar-SA" w:bidi="ar-S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color w:val="auto"/>
      <w:sz w:val="24"/>
      <w:szCs w:val="18"/>
      <w:lang w:val="cs-CZ" w:eastAsia="ar-SA" w:bidi="ar-SA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sz w:val="24"/>
      <w:szCs w:val="18"/>
      <w:shd w:val="clear" w:color="auto" w:fill="auto"/>
    </w:rPr>
  </w:style>
  <w:style w:type="character" w:customStyle="1" w:styleId="WW8Num3z1">
    <w:name w:val="WW8Num3z1"/>
    <w:rPr>
      <w:rFonts w:ascii="Times New Roman" w:hAnsi="Times New Roman" w:cs="Times New Roman"/>
      <w:b w:val="0"/>
      <w:sz w:val="24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bCs w:val="0"/>
      <w:sz w:val="24"/>
      <w:szCs w:val="18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rebuchet MS" w:hAnsi="Trebuchet MS" w:cs="Trebuchet MS"/>
      <w:b w:val="0"/>
      <w:bCs w:val="0"/>
      <w:sz w:val="24"/>
      <w:szCs w:val="18"/>
      <w:shd w:val="clear" w:color="auto" w:fill="auto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rebuchet MS" w:hint="default"/>
      <w:b w:val="0"/>
      <w:bCs w:val="0"/>
      <w:sz w:val="24"/>
      <w:szCs w:val="18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bCs w:val="0"/>
      <w:color w:val="0070C0"/>
      <w:sz w:val="24"/>
      <w:szCs w:val="24"/>
      <w:u w:val="none"/>
    </w:rPr>
  </w:style>
  <w:style w:type="character" w:customStyle="1" w:styleId="WW8Num8z1">
    <w:name w:val="WW8Num8z1"/>
    <w:rPr>
      <w:rFonts w:ascii="Times New Roman" w:hAnsi="Times New Roman" w:cs="Times New Roman"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11z1">
    <w:name w:val="WW8Num11z1"/>
    <w:rPr>
      <w:rFonts w:ascii="Times New Roman" w:hAnsi="Times New Roman" w:cs="Times New Roman"/>
      <w:b w:val="0"/>
      <w:sz w:val="24"/>
      <w:szCs w:val="18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sz w:val="24"/>
      <w:szCs w:val="24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b w:val="0"/>
      <w:sz w:val="24"/>
      <w:szCs w:val="18"/>
      <w:lang w:val="cs-CZ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rebuchet MS" w:hAnsi="Trebuchet MS" w:cs="Trebuchet MS" w:hint="default"/>
      <w:sz w:val="24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rebuchet MS" w:eastAsia="Calibri" w:hAnsi="Trebuchet MS" w:cs="Trebuchet M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Trebuchet MS" w:hAnsi="Trebuchet MS" w:cs="Trebuchet MS"/>
      <w:b w:val="0"/>
      <w:bCs w:val="0"/>
      <w:sz w:val="24"/>
      <w:szCs w:val="18"/>
      <w:shd w:val="clear" w:color="auto" w:fill="auto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rebuchet MS" w:eastAsia="Calibri" w:hAnsi="Trebuchet MS" w:cs="Trebuchet M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hAnsi="Times New Roman" w:cs="Times New Roman"/>
      <w:b w:val="0"/>
      <w:sz w:val="24"/>
      <w:szCs w:val="1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TextpoznpodarouChar">
    <w:name w:val="Text pozn. pod čarou Char"/>
    <w:rPr>
      <w:rFonts w:eastAsia="Calibri"/>
      <w:color w:val="00000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rFonts w:ascii="Calibri" w:eastAsia="Calibri" w:hAnsi="Calibri" w:cs="Calibri"/>
      <w:sz w:val="22"/>
      <w:szCs w:val="22"/>
    </w:rPr>
  </w:style>
  <w:style w:type="character" w:customStyle="1" w:styleId="SouhrnntextnvrhuChar">
    <w:name w:val="Souhrnný text návrhu Char"/>
    <w:rPr>
      <w:rFonts w:eastAsia="Calibri"/>
      <w:sz w:val="18"/>
      <w:szCs w:val="18"/>
    </w:rPr>
  </w:style>
  <w:style w:type="character" w:customStyle="1" w:styleId="NzevChar">
    <w:name w:val="Název Char"/>
    <w:rPr>
      <w:b/>
      <w:bCs/>
      <w:sz w:val="32"/>
    </w:rPr>
  </w:style>
  <w:style w:type="character" w:customStyle="1" w:styleId="Zkladntext2Char">
    <w:name w:val="Základní text 2 Cha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Odkaznavysvtlivky1">
    <w:name w:val="Odkaz na vysvětlivky1"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styleId="Odstavecseseznamem">
    <w:name w:val="List Paragraph"/>
    <w:basedOn w:val="Normln"/>
    <w:uiPriority w:val="99"/>
    <w:qFormat/>
    <w:pPr>
      <w:spacing w:after="150"/>
      <w:ind w:left="720"/>
      <w:jc w:val="both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pPr>
      <w:ind w:firstLine="600"/>
      <w:jc w:val="both"/>
    </w:pPr>
    <w:rPr>
      <w:rFonts w:eastAsia="Calibri"/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</w:rPr>
  </w:style>
  <w:style w:type="paragraph" w:customStyle="1" w:styleId="Souhrnntextnvrhu">
    <w:name w:val="Souhrnný text návrhu"/>
    <w:basedOn w:val="Normln"/>
    <w:pPr>
      <w:spacing w:after="150"/>
      <w:jc w:val="both"/>
    </w:pPr>
    <w:rPr>
      <w:rFonts w:eastAsia="Calibri"/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pPr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77B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877B3"/>
    <w:rPr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877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E877B3"/>
    <w:rPr>
      <w:lang w:eastAsia="ar-SA"/>
    </w:rPr>
  </w:style>
  <w:style w:type="character" w:customStyle="1" w:styleId="Nadpis2Char">
    <w:name w:val="Nadpis 2 Char"/>
    <w:link w:val="Nadpis2"/>
    <w:rsid w:val="00E877B3"/>
    <w:rPr>
      <w:sz w:val="24"/>
      <w:u w:val="single"/>
    </w:rPr>
  </w:style>
  <w:style w:type="character" w:customStyle="1" w:styleId="ZhlavChar">
    <w:name w:val="Záhlaví Char"/>
    <w:link w:val="Zhlav"/>
    <w:rsid w:val="00E877B3"/>
    <w:rPr>
      <w:lang w:eastAsia="ar-SA"/>
    </w:rPr>
  </w:style>
  <w:style w:type="character" w:styleId="Znakapoznpodarou">
    <w:name w:val="footnote reference"/>
    <w:semiHidden/>
    <w:rsid w:val="00E877B3"/>
    <w:rPr>
      <w:vertAlign w:val="superscript"/>
    </w:rPr>
  </w:style>
  <w:style w:type="paragraph" w:customStyle="1" w:styleId="NormlnIMP">
    <w:name w:val="Normální_IMP"/>
    <w:basedOn w:val="Normln"/>
    <w:rsid w:val="00E877B3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lang w:eastAsia="cs-CZ"/>
    </w:rPr>
  </w:style>
  <w:style w:type="paragraph" w:customStyle="1" w:styleId="Default">
    <w:name w:val="Default"/>
    <w:rsid w:val="00E877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5">
    <w:name w:val="Style5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  <w:spacing w:line="278" w:lineRule="exact"/>
      <w:ind w:hanging="403"/>
      <w:jc w:val="both"/>
    </w:pPr>
    <w:rPr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character" w:customStyle="1" w:styleId="FontStyle13">
    <w:name w:val="Font Style13"/>
    <w:uiPriority w:val="99"/>
    <w:rsid w:val="0012785F"/>
    <w:rPr>
      <w:rFonts w:ascii="Arial" w:hAnsi="Arial" w:cs="Arial" w:hint="default"/>
      <w:sz w:val="18"/>
      <w:szCs w:val="18"/>
    </w:rPr>
  </w:style>
  <w:style w:type="character" w:customStyle="1" w:styleId="FontStyle15">
    <w:name w:val="Font Style15"/>
    <w:uiPriority w:val="99"/>
    <w:rsid w:val="001278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12785F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uiPriority w:val="99"/>
    <w:rsid w:val="006E4730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6E4730"/>
    <w:pPr>
      <w:widowControl w:val="0"/>
      <w:suppressAutoHyphens w:val="0"/>
      <w:autoSpaceDE w:val="0"/>
      <w:autoSpaceDN w:val="0"/>
      <w:adjustRightInd w:val="0"/>
      <w:spacing w:line="277" w:lineRule="exact"/>
      <w:ind w:hanging="422"/>
      <w:jc w:val="both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p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/>
  <LinksUpToDate>false</LinksUpToDate>
  <CharactersWithSpaces>5154</CharactersWithSpaces>
  <SharedDoc>false</SharedDoc>
  <HLinks>
    <vt:vector size="6" baseType="variant"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http://www.mupe.cz/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subject/>
  <dc:creator>miksatkoa</dc:creator>
  <cp:keywords/>
  <cp:lastModifiedBy>Kubánek Miroslav</cp:lastModifiedBy>
  <cp:revision>5</cp:revision>
  <cp:lastPrinted>2016-12-05T05:57:00Z</cp:lastPrinted>
  <dcterms:created xsi:type="dcterms:W3CDTF">2022-06-07T05:59:00Z</dcterms:created>
  <dcterms:modified xsi:type="dcterms:W3CDTF">2022-06-24T06:19:00Z</dcterms:modified>
</cp:coreProperties>
</file>