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224;top:2996;width:519;height:19;rotation:0" o:preferrelative="f">
              <v:imagedata r:id="rId2" o:title="image1-1.jpeg"/>
            </v:shape>
            <v:group style="position:absolute;left:400;top:224;width:239;height:255" coordorigin="400,224" coordsize="239,255">
              <v:shape id="_x0000_s1027" type="#_x0000_t075" style="position:absolute;left:400;top:256;width:239;height:223;rotation:0" coordsize="21600,21600" o:spt="100" adj="0,,0" path="">
                <v:imagedata r:id="rId3" o:title="image1-1"/>
                <v:formulas/>
              </v:shape>
              <v:shape id="_x0000_s1027" type="#_x0000_t075" style="position:absolute;left:400;top:224;width:239;height:41;rotation:0" coordsize="21600,21600" o:spt="100" adj="0,,0" path="">
                <v:imagedata r:id="rId4" o:title="image1-2"/>
                <v:formulas/>
              </v:shape>
            </v:group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2.26in;margin-top:1.14in;width:5.07in;height:0.22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  <w:color w:val="202020"/>
                    </w:rPr>
                    <w:t xml:space="preserve">Obec Vraž, Květnová 344, 267 11 Vraž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72in;margin-top:2.06in;width:0.99in;height:0.16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č.4/2024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87in;margin-top:5.30in;width:0.60in;height:0.16in;z-index:251662317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ČI. 2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63in;margin-top:5.53in;width:3.84in;height:0.16in;z-index:251662318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Předmět, poplatník a plátce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2in;margin-top:8.62in;width:0.36in;height:0.18in;z-index:251662319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02020"/>
                    </w:rPr>
                    <w:t xml:space="preserve">(1)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64in;margin-top:1.88in;width:3.81in;height:0.71in;z-index:251662320;mso-wrap-style:none" filled="f" stroked="f">
            <v:textbox style="mso-fit-shape-to-text:t" inset="0,0,0,0">
              <w:txbxContent>
                <w:p>
                  <w:pPr>
                    <w:spacing w:after="2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Obecně závazná vyhláška obce Vraž</w:t>
                  </w:r>
                </w:p>
                <w:p>
                  <w:pPr>
                    <w:spacing w:after="0" w:line="240"/>
                    <w:ind w:left="4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o místním poplatku z pobytu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3in;margin-top:2.65in;width:8.75in;height:1.24in;z-index:251662322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Zastupitelstvo obce Vraž se na svém zasedání dne 11. prosince 2024 usnesením č. 8-13/2024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usneslo vydat na základě § 14 zákona č. 565/1990 Sb., o místních poplatcích, ve znění pozdějších</w:t>
                  </w:r>
                </w:p>
                <w:p>
                  <w:pPr>
                    <w:spacing w:after="50" w:line="240"/>
                    <w:ind w:left="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předpisů (dále jen „zákon o místních poplatcích"), a v souladu s §10 písm. d) a § 84 odst. 2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písm. h) zákona č. 128/2000 Sb., o obcích (obecní zřízení), věznění pozdějších předpisů, tuto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obecně závaznou vyhlášku (dále jen „vyhláška"):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3in;margin-top:4.47in;width:0.36in;height:0.61in;z-index:251662327;mso-wrap-style:none" filled="f" stroked="f">
            <v:textbox style="mso-fit-shape-to-text:t" inset="0,0,0,0">
              <w:txbxContent>
                <w:p>
                  <w:pPr>
                    <w:spacing w:after="100" w:line="240"/>
                    <w:ind w:left="5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  <w:color w:val="202020"/>
                    </w:rPr>
                    <w:t xml:space="preserve">(1)</w:t>
                  </w:r>
                </w:p>
                <w:p>
                  <w:pPr>
                    <w:spacing w:after="0" w:line="240"/>
                    <w:ind w:left="50"/>
                    <w:rPr>
                      <w:sz w:val="26"/>
                    </w:rPr>
                  </w:pPr>
                  <w:r>
                    <w:rPr>
                      <w:rFonts w:hint="eastAsia"/>
                      <w:sz w:val="26"/>
                      <w:color w:val="202020"/>
                    </w:rPr>
                    <w:t xml:space="preserve">(2)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3in;margin-top:3.93in;width:2.02in;height:0.54in;z-index:251662329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750"/>
                    <w:rPr>
                      <w:sz w:val="30"/>
                    </w:rPr>
                  </w:pPr>
                  <w:r>
                    <w:rPr>
                      <w:rFonts w:hint="eastAsia"/>
                      <w:sz w:val="30"/>
                      <w:color w:val="202020"/>
                    </w:rPr>
                    <w:t xml:space="preserve">ČI. 1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Úvodní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13in;margin-top:4.50in;width:7.13in;height:0.56in;z-index:251662331;mso-wrap-style:none" filled="f" stroked="f">
            <v:textbox style="mso-fit-shape-to-text:t" inset="0,0,0,0">
              <w:txbxContent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Obec Vraž touto vyhláškou zavádí místní poplatek z pobytu (dále jen „poplatek").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Správcem poplatku je obecní úřad1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3in;margin-top:5.82in;width:8.74in;height:2.49in;z-index:251662333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(1) Předmětem poplatku je úplatný pobyt trvající nejvýše 60 po sobě jdoucích kalendářních dnů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u jednotlivého poskytovatele pobytu. Předmětem poplatku není pobyt, při kterém je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na základě zákona omezována osobní svoboda, a pobyt ve zdravotnickém zařízení</w:t>
                  </w:r>
                </w:p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poskytovatele lůžkové péče, pokud je tento pobyt hrazenou zdravotní službou podle zákona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upravujícího veřejné zdravotní pojištění nebo pokud je její součástí, s výjimkou lázeňské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léčebně rehabilitační péče2.</w:t>
                  </w:r>
                </w:p>
                <w:p>
                  <w:pPr>
                    <w:spacing w:after="1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(2) Poplatníkem poplatku je osoba, která v obci není přihlášená (dále jen „poplatník")3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(3) Plátcem poplatku je poskytovatel úplatného pobytu (dále jen „plátce"). Plátce je povinen</w:t>
                  </w:r>
                </w:p>
                <w:p>
                  <w:pPr>
                    <w:spacing w:after="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vybrat poplatek od poplatníka4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19in;margin-top:8.12in;width:2.35in;height:0.51in;z-index:251662342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9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ČI. 3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Ohlašovací povinnost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3in;margin-top:8.64in;width:8.73in;height:1.09in;z-index:25166234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Plátce je povinen podat správci poplatku ohlášení nejpozději do 15 dnů od zahájení činnosti</w:t>
                  </w:r>
                </w:p>
                <w:p>
                  <w:pPr>
                    <w:spacing w:after="15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spočívající v poskytování úplatného pobytu; údaje uváděné v ohlášení upravuje zákon5.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(2) Dojde-li ke změně údajů uvedených v ohlášení, je plátce povinen tuto změnu oznámit do 15</w:t>
                  </w:r>
                </w:p>
                <w:p>
                  <w:pPr>
                    <w:spacing w:after="0" w:line="240"/>
                    <w:ind w:left="50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dnů ode dne, kdy nastala6.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2in;margin-top:9.99in;width:8.65in;height:1.28in;z-index:251662348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1 § 15 odst. 1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2 § 3a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3 § 3 zákona o místních poplatcích</w:t>
                  </w:r>
                </w:p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4 § 3f zákona o místních poplatcích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02020"/>
                    </w:rPr>
                    <w:t xml:space="preserve">5 § 14a odst. 1 a 2 zákona o místních poplatcích; v ohlášení plátce uvede zejména své identifikační údaje a skutečnosti</w:t>
                  </w:r>
                </w:p>
                <w:p>
                  <w:pPr>
                    <w:spacing w:after="0" w:line="240"/>
                    <w:ind w:left="2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rozhodné pro stanovení poplatku</w:t>
                  </w:r>
                </w:p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02020"/>
                    </w:rPr>
                    <w:t xml:space="preserve">6 § 14a odst. 4 zákona o místních poplatcích</w:t>
                  </w:r>
                </w:p>
              </w:txbxContent>
            </v:textbox>
          </v:shape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5" o:title="image2_back"/>
            </v:shape>
            <v:shape id="_x0000_s1027" type="#_x0000_t075" style="position:absolute;left:232;top:3208;width:519;height:15;rotation:0" o:preferrelative="f">
              <v:imagedata r:id="rId6" o:title="image2-2.jpeg"/>
            </v:shape>
            <v:shape id="_x0000_s1027" type="#_x0000_t075" style="position:absolute;left:1000;top:2728;width:447;height:447;rotation:0" o:preferrelative="f">
              <v:imagedata r:id="rId7" o:title="image2-3.jpeg"/>
            </v:shape>
            <v:shape id="_x0000_s1027" type="#_x0000_t075" style="position:absolute;left:448;top:2724;width:295;height:407;rotation:0" o:preferrelative="f">
              <v:imagedata r:id="rId8" o:title="image2-4.jpeg"/>
            </v:shape>
            <v:shape id="_x0000_s1027" type="#_x0000_t075" style="position:absolute;left:1992;top:8;width:415;height:11;rotation:0" o:preferrelative="f">
              <v:imagedata r:id="rId9" o:title="image2-5.jpeg"/>
            </v:shape>
            <v:shape id="_x0000_s1027" type="#_x0000_t075" style="position:absolute;left:600;top:16;width:63;height:11;rotation:0" o:preferrelative="f">
              <v:imagedata r:id="rId10" o:title="image2-6.jpeg"/>
            </v:shape>
            <v:shape id="_x0000_s1027" type="#_x0000_t075" style="position:absolute;left:248;top:16;width:55;height:11;rotation:0" o:preferrelative="f">
              <v:imagedata r:id="rId11" o:title="image2-7.jpeg"/>
            </v:shape>
            <v:shape id="_x0000_s1027" type="#_x0000_t075" style="position:absolute;left:120;top:16;width:87;height:11;rotation:0" o:preferrelative="f">
              <v:imagedata r:id="rId12" o:title="image2-8.jpeg"/>
            </v:shape>
            <v:shape id="_x0000_s1027" type="#_x0000_t075" style="position:absolute;left:8;top:16;width:111;height:11;rotation:0" o:preferrelative="f">
              <v:imagedata r:id="rId13" o:title="image2-9.jpeg"/>
            </v:shape>
            <v:shape id="_x0000_s1027" type="#_x0000_t075" style="position:absolute;left:1448;top:12;width:79;height:11;rotation:0" o:preferrelative="f">
              <v:imagedata r:id="rId14" o:title="image2-10.jpeg"/>
            </v:shape>
            <v:shape id="_x0000_s1027" type="#_x0000_t075" style="position:absolute;left:1392;top:12;width:55;height:11;rotation:0" o:preferrelative="f">
              <v:imagedata r:id="rId15" o:title="image2-11.jpeg"/>
            </v:shape>
            <v:shape id="_x0000_s1027" type="#_x0000_t075" style="position:absolute;left:1224;top:12;width:87;height:11;rotation:0" o:preferrelative="f">
              <v:imagedata r:id="rId16" o:title="image2-12.jpeg"/>
            </v:shape>
            <v:shape id="_x0000_s1027" type="#_x0000_t075" style="position:absolute;left:1128;top:12;width:55;height:11;rotation:0" o:preferrelative="f">
              <v:imagedata r:id="rId17" o:title="image2-13.jpeg"/>
            </v:shape>
            <v:shape id="_x0000_s1027" type="#_x0000_t075" style="position:absolute;left:880;top:12;width:111;height:11;rotation:0" o:preferrelative="f">
              <v:imagedata r:id="rId18" o:title="image2-14.jpeg"/>
            </v:shape>
            <v:shape id="_x0000_s1027" type="#_x0000_t075" style="position:absolute;left:1904;top:8;width:87;height:11;rotation:0" o:preferrelative="f">
              <v:imagedata r:id="rId19" o:title="image2-15.jpeg"/>
            </v:shape>
            <v:shape id="_x0000_s1027" type="#_x0000_t075" style="position:absolute;left:1792;top:8;width:95;height:11;rotation:0" o:preferrelative="f">
              <v:imagedata r:id="rId20" o:title="image2-16.jpeg"/>
            </v:shape>
            <v:shape id="_x0000_s1027" type="#_x0000_t075" style="position:absolute;left:1104;top:2816;width:247;height:263;rotation:0" o:preferrelative="f">
              <v:imagedata r:id="rId21" o:title="image2-1.jpeg"/>
            </v:shape>
            <w10:wrap type="none"/>
            <w10:anchorlock/>
          </v:group>
        </w:pict>
      </w:r>
      <w:r>
        <w:rPr>
          <w:noProof/>
        </w:rPr>
        <w:pict>
          <v:shape type="#_x0000_t202" style="position:absolute;text-align:left;margin-left:0.76in;margin-top:1.45in;width:7.44in;height:0.16in;z-index:251662313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Evidenční povinnost plátce, včetně povinnosti vést evidenční knihu, upravuje zákon7</w:t>
                  </w:r>
                  <w:r>
                    <w:rPr>
                      <w:rFonts w:hint="eastAsia"/>
                      <w:sz w:val="22"/>
                      <w:color w:val="363636"/>
                    </w:rPr>
                    <w:t xml:space="preserve">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6in;margin-top:2.51in;width:7.89in;height:0.15in;z-index:251662314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Sazba poplatku činí 10 Kč za každý započatý den pobytu, s výjimkou dne počátku pobytu.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6in;margin-top:3.56in;width:8.16in;height:0.15in;z-index:251662315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Plátce odvede vybraný poplatek správci poplatku nejpozději do 15. dne následujícího čtvrtletí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6in;margin-top:4.59in;width:7.84in;height:0.16in;z-index:25166231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12121"/>
                    </w:rPr>
                    <w:t xml:space="preserve">Od poplatku z pobytu jsou osvobozeny osoby vymezené v zákoně o místních poplatcích8</w:t>
                  </w:r>
                  <w:r>
                    <w:rPr>
                      <w:rFonts w:hint="eastAsia"/>
                      <w:sz w:val="24"/>
                      <w:color w:val="343434"/>
                    </w:rPr>
                    <w:t xml:space="preserve">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88in;margin-top:5.12in;width:0.59in;height:0.16in;z-index:251662317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d1d1d"/>
                    </w:rPr>
                    <w:t xml:space="preserve">ČI. 8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2.72in;margin-top:5.35in;width:3.62in;height:0.14in;z-index:251662318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Přechodné a zrušovací ustanovení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6in;margin-top:7.38in;width:4.64in;height:0.15in;z-index:251662319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Tato vyhláška nabývá účinnosti dnem 3. ledna 2025.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26in;margin-top:0.93in;width:2.21in;height:0.51in;z-index:251662320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8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f1f1f"/>
                    </w:rPr>
                    <w:t xml:space="preserve">ČI. 4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Evidenční povinnost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46in;margin-top:1.98in;width:1.68in;height:0.51in;z-index:251662322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d1d1d"/>
                    </w:rPr>
                    <w:t xml:space="preserve">ČI. 5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d1d1d"/>
                    </w:rPr>
                    <w:t xml:space="preserve">Sazba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33in;margin-top:3.01in;width:2.03in;height:0.53in;z-index:251662324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7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202020"/>
                    </w:rPr>
                    <w:t xml:space="preserve">ČI. 6</w:t>
                  </w:r>
                </w:p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02020"/>
                    </w:rPr>
                    <w:t xml:space="preserve">Splatnost poplatku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60in;margin-top:4.07in;width:1.33in;height:0.49in;z-index:251662326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4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e1e1e"/>
                    </w:rPr>
                    <w:t xml:space="preserve">ČI. 7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e1e1e"/>
                    </w:rPr>
                    <w:t xml:space="preserve">Osvobození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6in;margin-top:5.65in;width:8.69in;height:1.07in;z-index:251662328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(1) Poplatkové povinnosti vzniklé před nabytím účinnosti této vyhlášky se posuzují podle</w:t>
                  </w:r>
                </w:p>
                <w:p>
                  <w:pPr>
                    <w:spacing w:after="150" w:line="240"/>
                    <w:ind w:left="5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dosavadních právních předpisů.</w:t>
                  </w:r>
                </w:p>
                <w:p>
                  <w:pPr>
                    <w:spacing w:after="5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212121"/>
                    </w:rPr>
                    <w:t xml:space="preserve">(2) Zrušuje se obecně závazná vyhláška č. 2/2019, o místním poplatku z pobytu, ze dne 18.</w:t>
                  </w:r>
                </w:p>
                <w:p>
                  <w:pPr>
                    <w:spacing w:after="0" w:line="240"/>
                    <w:ind w:left="5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212121"/>
                    </w:rPr>
                    <w:t xml:space="preserve">prosince 2019.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3.72in;margin-top:6.85in;width:1.04in;height:0.49in;z-index:251662332;mso-wrap-style:none" filled="f" stroked="f">
            <v:textbox style="mso-fit-shape-to-text:t" inset="0,0,0,0">
              <w:txbxContent>
                <w:p>
                  <w:pPr>
                    <w:spacing w:after="50" w:line="240"/>
                    <w:ind w:left="25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color w:val="1e1e1e"/>
                    </w:rPr>
                    <w:t xml:space="preserve">ČI. 9</w:t>
                  </w:r>
                </w:p>
                <w:p>
                  <w:pPr>
                    <w:spacing w:after="0" w:line="240"/>
                    <w:ind w:left="5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  <w:color w:val="1e1e1e"/>
                    </w:rPr>
                    <w:t xml:space="preserve">Účinnost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1.98in;margin-top:8.85in;width:1.27in;height:0.39in;z-index:251662334;mso-wrap-style:none" filled="f" stroked="f">
            <v:textbox style="mso-fit-shape-to-text:t" inset="0,0,0,0">
              <w:txbxContent>
                <w:p>
                  <w:pPr>
                    <w:spacing w:after="5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Petr Jizba v. r.</w:t>
                  </w:r>
                </w:p>
                <w:p>
                  <w:pPr>
                    <w:spacing w:after="0" w:line="240"/>
                    <w:ind w:left="3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starosta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0.76in;margin-top:10.68in;width:3.17in;height:0.34in;z-index:251662336;mso-wrap-style:none" filled="f" stroked="f">
            <v:textbox style="mso-fit-shape-to-text:t" inset="0,0,0,0">
              <w:txbxContent>
                <w:p>
                  <w:pPr>
                    <w:spacing w:after="0" w:line="24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222222"/>
                    </w:rPr>
                    <w:t xml:space="preserve">7 §3ga § 3h zákona o místních poplatcích</w:t>
                  </w:r>
                </w:p>
                <w:p>
                  <w:pPr>
                    <w:spacing w:after="0" w:line="24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  <w:color w:val="222222"/>
                    </w:rPr>
                    <w:t xml:space="preserve">8 § 3b zákona o místních poplatcích</w:t>
                  </w:r>
                </w:p>
              </w:txbxContent>
            </v:textbox>
          </v:shape>
        </w:pict>
      </w:r>
      <w:r>
        <w:rPr>
          <w:noProof/>
        </w:rPr>
        <w:pict>
          <v:shape type="#_x0000_t202" style="position:absolute;text-align:left;margin-left:4.87in;margin-top:8.84in;width:2.32in;height:0.39in;z-index:251662338;mso-wrap-style:none" filled="f" stroked="f">
            <v:textbox style="mso-fit-shape-to-text:t" inset="0,0,0,0">
              <w:txbxContent>
                <w:p>
                  <w:pPr>
                    <w:spacing w:after="0" w:line="240"/>
                    <w:ind w:left="50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  <w:color w:val="1f1f1f"/>
                    </w:rPr>
                    <w:t xml:space="preserve">Ing. Hana Maivaldová v. r.</w:t>
                  </w:r>
                </w:p>
                <w:p>
                  <w:pPr>
                    <w:spacing w:after="0" w:line="240"/>
                    <w:ind w:left="50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  <w:color w:val="1f1f1f"/>
                    </w:rPr>
                    <w:t xml:space="preserve">místostarostka</w:t>
                  </w:r>
                </w:p>
              </w:txbxContent>
            </v:textbox>
          </v:shape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3.jpeg"/>
<Relationship Id="rId5" Type="http://schemas.openxmlformats.org/officeDocument/2006/relationships/image" Target="media/image2_back.jpeg"/>
<Relationship Id="rId6" Type="http://schemas.openxmlformats.org/officeDocument/2006/relationships/image" Target="media/image2-2.jpeg"/>
<Relationship Id="rId7" Type="http://schemas.openxmlformats.org/officeDocument/2006/relationships/image" Target="media/image2-3.jpeg"/>
<Relationship Id="rId8" Type="http://schemas.openxmlformats.org/officeDocument/2006/relationships/image" Target="media/image2-4.jpeg"/>
<Relationship Id="rId9" Type="http://schemas.openxmlformats.org/officeDocument/2006/relationships/image" Target="media/image2-5.jpeg"/>
<Relationship Id="rId10" Type="http://schemas.openxmlformats.org/officeDocument/2006/relationships/image" Target="media/image2-6.jpeg"/>
<Relationship Id="rId11" Type="http://schemas.openxmlformats.org/officeDocument/2006/relationships/image" Target="media/image2-7.jpeg"/>
<Relationship Id="rId12" Type="http://schemas.openxmlformats.org/officeDocument/2006/relationships/image" Target="media/image2-8.jpeg"/>
<Relationship Id="rId13" Type="http://schemas.openxmlformats.org/officeDocument/2006/relationships/image" Target="media/image2-9.jpeg"/>
<Relationship Id="rId14" Type="http://schemas.openxmlformats.org/officeDocument/2006/relationships/image" Target="media/image2-10.jpeg"/>
<Relationship Id="rId15" Type="http://schemas.openxmlformats.org/officeDocument/2006/relationships/image" Target="media/image2-11.jpeg"/>
<Relationship Id="rId16" Type="http://schemas.openxmlformats.org/officeDocument/2006/relationships/image" Target="media/image2-12.jpeg"/>
<Relationship Id="rId17" Type="http://schemas.openxmlformats.org/officeDocument/2006/relationships/image" Target="media/image2-13.jpeg"/>
<Relationship Id="rId18" Type="http://schemas.openxmlformats.org/officeDocument/2006/relationships/image" Target="media/image2-14.jpeg"/>
<Relationship Id="rId19" Type="http://schemas.openxmlformats.org/officeDocument/2006/relationships/image" Target="media/image2-15.jpeg"/>
<Relationship Id="rId20" Type="http://schemas.openxmlformats.org/officeDocument/2006/relationships/image" Target="media/image2-16.jpeg"/>
<Relationship Id="rId21" Type="http://schemas.openxmlformats.org/officeDocument/2006/relationships/image" Target="media/image2-1.jpeg"/>
<Relationship Id="rId22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KM_C227</dc:creator>
  <cp:lastModifiedBy>KM_C227</cp:lastModifiedBy>
  <cp:revision>1</cp:revision>
  <dcterms:created xsi:type="dcterms:W3CDTF">2024-12-18T10:26:42Z</dcterms:created>
  <dcterms:modified xsi:type="dcterms:W3CDTF">2024-12-18T10:26:42Z</dcterms:modified>
</cp:coreProperties>
</file>