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025094EB" w:rsidR="00BD3183" w:rsidRDefault="00BD3183" w:rsidP="00706BF0">
      <w:pPr>
        <w:jc w:val="center"/>
      </w:pPr>
      <w:r>
        <w:rPr>
          <w:b/>
          <w:sz w:val="40"/>
        </w:rPr>
        <w:t xml:space="preserve">O B E C   </w:t>
      </w:r>
      <w:r w:rsidR="00C21172">
        <w:rPr>
          <w:b/>
          <w:sz w:val="40"/>
        </w:rPr>
        <w:t>N E Z A B Y L I C E</w:t>
      </w:r>
    </w:p>
    <w:p w14:paraId="6B472C8C" w14:textId="77777777" w:rsidR="00BD3183" w:rsidRDefault="00BD3183" w:rsidP="00706BF0">
      <w:pPr>
        <w:jc w:val="center"/>
        <w:rPr>
          <w:b/>
        </w:rPr>
      </w:pPr>
    </w:p>
    <w:p w14:paraId="2484EA8D" w14:textId="09FADE67" w:rsidR="00BD3183" w:rsidRDefault="00BD3183" w:rsidP="00706BF0">
      <w:pPr>
        <w:jc w:val="center"/>
        <w:rPr>
          <w:b/>
          <w:sz w:val="32"/>
        </w:rPr>
      </w:pPr>
      <w:r>
        <w:rPr>
          <w:b/>
          <w:sz w:val="32"/>
        </w:rPr>
        <w:t xml:space="preserve">ZASTUPITELSTVO OBCE </w:t>
      </w:r>
      <w:r w:rsidR="00C21172">
        <w:rPr>
          <w:b/>
          <w:sz w:val="32"/>
        </w:rPr>
        <w:t>NEZABYLICE</w:t>
      </w:r>
    </w:p>
    <w:p w14:paraId="3AA48AB9" w14:textId="77777777" w:rsidR="007A33DE" w:rsidRPr="00454780" w:rsidRDefault="007A33DE" w:rsidP="00706BF0">
      <w:pPr>
        <w:jc w:val="center"/>
        <w:rPr>
          <w:b/>
          <w:bCs/>
        </w:rPr>
      </w:pPr>
    </w:p>
    <w:p w14:paraId="556AA157" w14:textId="076F8840" w:rsidR="007A33DE" w:rsidRDefault="007A33DE" w:rsidP="00706BF0">
      <w:pPr>
        <w:jc w:val="center"/>
        <w:rPr>
          <w:b/>
          <w:bCs/>
          <w:sz w:val="32"/>
          <w:szCs w:val="32"/>
        </w:rPr>
      </w:pPr>
      <w:r w:rsidRPr="00454780">
        <w:rPr>
          <w:b/>
          <w:bCs/>
          <w:sz w:val="32"/>
          <w:szCs w:val="32"/>
        </w:rPr>
        <w:t>Obecně závazná vyhláška</w:t>
      </w:r>
      <w:r w:rsidR="00CA614E">
        <w:rPr>
          <w:b/>
          <w:bCs/>
          <w:sz w:val="32"/>
          <w:szCs w:val="32"/>
        </w:rPr>
        <w:t xml:space="preserve"> č.1/2024</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4533B2C5" w:rsidR="007A33DE" w:rsidRPr="00657771" w:rsidRDefault="007A33DE" w:rsidP="00706BF0">
      <w:pPr>
        <w:pStyle w:val="Zkladntextodsazen"/>
        <w:ind w:left="0" w:firstLine="0"/>
        <w:rPr>
          <w:i/>
        </w:rPr>
      </w:pPr>
      <w:r w:rsidRPr="00454780">
        <w:rPr>
          <w:i/>
        </w:rPr>
        <w:t xml:space="preserve">Zastupitelstvo obce </w:t>
      </w:r>
      <w:r w:rsidR="00C21172">
        <w:rPr>
          <w:i/>
        </w:rPr>
        <w:t>Nezabylice</w:t>
      </w:r>
      <w:r w:rsidRPr="00454780">
        <w:rPr>
          <w:i/>
        </w:rPr>
        <w:t xml:space="preserve"> se na svém zasedání dne </w:t>
      </w:r>
      <w:r w:rsidR="00CA614E">
        <w:rPr>
          <w:i/>
        </w:rPr>
        <w:t>19.6.2024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C624ED">
        <w:rPr>
          <w:i/>
        </w:rPr>
        <w:t xml:space="preserve">1 a </w:t>
      </w:r>
      <w:r w:rsidR="00706BF0">
        <w:rPr>
          <w:i/>
        </w:rPr>
        <w:t>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5A6F392F" w:rsidR="009958F0" w:rsidRDefault="009958F0" w:rsidP="00706BF0">
      <w:pPr>
        <w:jc w:val="center"/>
        <w:rPr>
          <w:b/>
        </w:rPr>
      </w:pPr>
    </w:p>
    <w:p w14:paraId="0CCF7EFB" w14:textId="77777777" w:rsidR="00C624ED" w:rsidRPr="00454780" w:rsidRDefault="00C624ED" w:rsidP="00C624ED">
      <w:pPr>
        <w:jc w:val="center"/>
        <w:rPr>
          <w:b/>
        </w:rPr>
      </w:pPr>
      <w:r w:rsidRPr="00454780">
        <w:rPr>
          <w:b/>
        </w:rPr>
        <w:t>Článek 1</w:t>
      </w:r>
    </w:p>
    <w:p w14:paraId="0F4728CC" w14:textId="77777777" w:rsidR="00C624ED" w:rsidRPr="00454780" w:rsidRDefault="00C624ED" w:rsidP="00C624ED">
      <w:pPr>
        <w:jc w:val="center"/>
        <w:outlineLvl w:val="0"/>
        <w:rPr>
          <w:b/>
        </w:rPr>
      </w:pPr>
      <w:r w:rsidRPr="00657771">
        <w:rPr>
          <w:b/>
        </w:rPr>
        <w:t xml:space="preserve">Místní koeficient pro </w:t>
      </w:r>
      <w:r>
        <w:rPr>
          <w:b/>
        </w:rPr>
        <w:t>obec</w:t>
      </w:r>
    </w:p>
    <w:p w14:paraId="37F4C3C5" w14:textId="77777777" w:rsidR="00C624ED" w:rsidRPr="00706BF0" w:rsidRDefault="00C624ED" w:rsidP="00C624ED">
      <w:pPr>
        <w:jc w:val="center"/>
        <w:rPr>
          <w:b/>
          <w:sz w:val="22"/>
          <w:szCs w:val="22"/>
        </w:rPr>
      </w:pPr>
    </w:p>
    <w:p w14:paraId="4407361B" w14:textId="3C6BA1D8" w:rsidR="00C624ED" w:rsidRPr="00657771" w:rsidRDefault="00C624ED" w:rsidP="00C624ED">
      <w:pPr>
        <w:tabs>
          <w:tab w:val="left" w:pos="1134"/>
        </w:tabs>
        <w:jc w:val="both"/>
      </w:pPr>
      <w:r w:rsidRPr="00BD3183">
        <w:t xml:space="preserve">Stanovuje se místní koeficient pro obec ve výši </w:t>
      </w:r>
      <w:r>
        <w:rPr>
          <w:b/>
          <w:bCs/>
          <w:sz w:val="28"/>
          <w:szCs w:val="28"/>
        </w:rPr>
        <w:t>3</w:t>
      </w:r>
      <w:r w:rsidRPr="00BD3183">
        <w:t>.</w:t>
      </w:r>
      <w:r w:rsidRPr="00C9237F">
        <w:rPr>
          <w:vertAlign w:val="superscript"/>
        </w:rPr>
        <w:footnoteReference w:id="1"/>
      </w:r>
      <w:r w:rsidRPr="00C9237F">
        <w:rPr>
          <w:vertAlign w:val="superscript"/>
        </w:rPr>
        <w:t xml:space="preserve">, </w:t>
      </w:r>
      <w:r w:rsidRPr="00C9237F">
        <w:rPr>
          <w:vertAlign w:val="superscript"/>
        </w:rPr>
        <w:footnoteReference w:id="2"/>
      </w:r>
    </w:p>
    <w:p w14:paraId="77F1A839" w14:textId="77777777" w:rsidR="00C624ED" w:rsidRPr="00454780" w:rsidRDefault="00C624ED" w:rsidP="00706BF0">
      <w:pPr>
        <w:jc w:val="center"/>
        <w:rPr>
          <w:b/>
        </w:rPr>
      </w:pPr>
    </w:p>
    <w:p w14:paraId="69DBAE33" w14:textId="6379D7C5" w:rsidR="009958F0" w:rsidRPr="00454780" w:rsidRDefault="009958F0" w:rsidP="00706BF0">
      <w:pPr>
        <w:jc w:val="center"/>
        <w:rPr>
          <w:b/>
        </w:rPr>
      </w:pPr>
      <w:r w:rsidRPr="00454780">
        <w:rPr>
          <w:b/>
        </w:rPr>
        <w:t xml:space="preserve">Článek </w:t>
      </w:r>
      <w:r w:rsidR="00CE27B2">
        <w:rPr>
          <w:b/>
        </w:rPr>
        <w:t>2</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68A81793" w14:textId="77777777" w:rsidR="00C42DAC"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465CBA7A" w14:textId="35A00346" w:rsidR="00C42DAC" w:rsidRPr="000305EC" w:rsidRDefault="00C42DAC" w:rsidP="00C42DAC">
      <w:pPr>
        <w:pStyle w:val="Odstavecseseznamem"/>
        <w:numPr>
          <w:ilvl w:val="0"/>
          <w:numId w:val="23"/>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DD7F8C" w:rsidRPr="00DD7F8C">
        <w:rPr>
          <w:b/>
          <w:bCs/>
          <w:sz w:val="28"/>
          <w:szCs w:val="28"/>
        </w:rPr>
        <w:t>3</w:t>
      </w:r>
      <w:r w:rsidRPr="00DD7F8C">
        <w:rPr>
          <w:b/>
          <w:bCs/>
        </w:rPr>
        <w:t>,</w:t>
      </w:r>
    </w:p>
    <w:p w14:paraId="0BF37893"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zdanitelné stavby a zdanitelné jednotky pro</w:t>
      </w:r>
    </w:p>
    <w:p w14:paraId="16654F96" w14:textId="77777777" w:rsidR="00C42DAC" w:rsidRPr="000305EC" w:rsidRDefault="00C42DAC" w:rsidP="00C42DAC">
      <w:pPr>
        <w:pStyle w:val="Odstavecseseznamem"/>
        <w:tabs>
          <w:tab w:val="left" w:pos="1134"/>
        </w:tabs>
        <w:ind w:left="709"/>
        <w:contextualSpacing w:val="0"/>
      </w:pPr>
      <w:r w:rsidRPr="000305EC">
        <w:t>podnikání v zemědělské prvovýrobě, lesním</w:t>
      </w:r>
    </w:p>
    <w:p w14:paraId="47AAD91A" w14:textId="037C0E5D" w:rsidR="00C42DAC" w:rsidRPr="000305EC" w:rsidRDefault="00C42DAC" w:rsidP="00C42DAC">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00DD7F8C">
        <w:rPr>
          <w:b/>
          <w:bCs/>
          <w:sz w:val="28"/>
          <w:szCs w:val="28"/>
        </w:rPr>
        <w:t>3</w:t>
      </w:r>
      <w:r w:rsidRPr="000305EC">
        <w:t>,</w:t>
      </w:r>
    </w:p>
    <w:p w14:paraId="00578959"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393CD913" w14:textId="77777777" w:rsidR="00C42DAC" w:rsidRPr="000305EC" w:rsidRDefault="00C42DAC" w:rsidP="00C42DAC">
      <w:pPr>
        <w:pStyle w:val="Odstavecseseznamem"/>
        <w:tabs>
          <w:tab w:val="left" w:pos="1134"/>
        </w:tabs>
        <w:ind w:left="709"/>
        <w:contextualSpacing w:val="0"/>
      </w:pPr>
      <w:r w:rsidRPr="000305EC">
        <w:t>podnikání v průmyslu, stavebnictví, dopravě,</w:t>
      </w:r>
    </w:p>
    <w:p w14:paraId="6E607B27" w14:textId="2A600BC9" w:rsidR="00C42DAC" w:rsidRPr="000305EC" w:rsidRDefault="00C42DAC" w:rsidP="00C42DAC">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00DD7F8C">
        <w:rPr>
          <w:b/>
          <w:bCs/>
          <w:sz w:val="28"/>
          <w:szCs w:val="28"/>
        </w:rPr>
        <w:t>3</w:t>
      </w:r>
      <w:r w:rsidRPr="000305EC">
        <w:t>,</w:t>
      </w:r>
    </w:p>
    <w:p w14:paraId="066179D0"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648AD0BD" w14:textId="38AC57F0" w:rsidR="00C42DAC" w:rsidRPr="000305EC" w:rsidRDefault="00C42DAC" w:rsidP="00C42DAC">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00DD7F8C">
        <w:rPr>
          <w:b/>
          <w:bCs/>
          <w:sz w:val="28"/>
          <w:szCs w:val="28"/>
        </w:rPr>
        <w:t>3</w:t>
      </w:r>
      <w:r w:rsidRPr="000305EC">
        <w:t>.</w:t>
      </w:r>
    </w:p>
    <w:p w14:paraId="3D0259D0" w14:textId="77777777" w:rsidR="00706BF0" w:rsidRPr="00657771" w:rsidRDefault="00706BF0" w:rsidP="00706BF0">
      <w:pPr>
        <w:jc w:val="center"/>
        <w:rPr>
          <w:bCs/>
        </w:rPr>
      </w:pPr>
    </w:p>
    <w:p w14:paraId="1E24BA70" w14:textId="3FA5C3EA"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CE27B2">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58DC7A84" w:rsidR="00563F82" w:rsidRPr="00BD3183" w:rsidRDefault="00563F82" w:rsidP="00706BF0">
      <w:pPr>
        <w:jc w:val="both"/>
      </w:pPr>
      <w:r w:rsidRPr="00BD3183">
        <w:t xml:space="preserve">Zrušuje se obecně závazná vyhláška č. </w:t>
      </w:r>
      <w:r w:rsidR="00C07F6A">
        <w:t>1/2014</w:t>
      </w:r>
      <w:r w:rsidRPr="00BD3183">
        <w:t xml:space="preserve">, </w:t>
      </w:r>
      <w:r w:rsidR="00C07F6A" w:rsidRPr="00C07F6A">
        <w:t>o stanovení koeficient</w:t>
      </w:r>
      <w:r w:rsidR="00C21172">
        <w:t>ů</w:t>
      </w:r>
      <w:r w:rsidR="00C07F6A" w:rsidRPr="00C07F6A">
        <w:t xml:space="preserve"> pro výpočet daně z</w:t>
      </w:r>
      <w:r w:rsidR="00C07F6A">
        <w:t> </w:t>
      </w:r>
      <w:r w:rsidR="00C07F6A" w:rsidRPr="00C07F6A">
        <w:t>nemovitých věcí</w:t>
      </w:r>
      <w:r w:rsidRPr="00BD3183">
        <w:t xml:space="preserve">, ze dne </w:t>
      </w:r>
      <w:r w:rsidR="00C21172">
        <w:t>25. 9</w:t>
      </w:r>
      <w:r w:rsidR="00C07F6A" w:rsidRPr="00C07F6A">
        <w:t>.</w:t>
      </w:r>
      <w:r w:rsidR="00C07F6A">
        <w:t xml:space="preserve"> </w:t>
      </w:r>
      <w:r w:rsidR="00C07F6A" w:rsidRPr="00C07F6A">
        <w:t>2014</w:t>
      </w:r>
      <w:r w:rsidRPr="00BD3183">
        <w:t>.</w:t>
      </w:r>
    </w:p>
    <w:p w14:paraId="522BEA04" w14:textId="77777777" w:rsidR="00C21172" w:rsidRDefault="00C21172">
      <w:pPr>
        <w:rPr>
          <w:b/>
          <w:bCs/>
        </w:rPr>
      </w:pPr>
      <w:r>
        <w:br w:type="page"/>
      </w:r>
    </w:p>
    <w:p w14:paraId="6466DCF4" w14:textId="6CA59393"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CE27B2">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710A0754" w:rsidR="009407EA" w:rsidRDefault="009407EA" w:rsidP="00706BF0">
      <w:pPr>
        <w:autoSpaceDE w:val="0"/>
      </w:pPr>
    </w:p>
    <w:p w14:paraId="28C823F8" w14:textId="79BD69E6" w:rsidR="00C07F6A" w:rsidRDefault="00C07F6A" w:rsidP="00706BF0">
      <w:pPr>
        <w:autoSpaceDE w:val="0"/>
      </w:pPr>
    </w:p>
    <w:p w14:paraId="760A3F0F" w14:textId="77777777" w:rsidR="00C21172" w:rsidRDefault="00C21172" w:rsidP="00706BF0">
      <w:pPr>
        <w:autoSpaceDE w:val="0"/>
      </w:pPr>
    </w:p>
    <w:p w14:paraId="6C89E827" w14:textId="77777777" w:rsidR="00956336" w:rsidRPr="00301952" w:rsidRDefault="00956336" w:rsidP="00956336">
      <w:pPr>
        <w:tabs>
          <w:tab w:val="center" w:pos="2268"/>
          <w:tab w:val="center" w:pos="6804"/>
        </w:tabs>
      </w:pPr>
    </w:p>
    <w:tbl>
      <w:tblPr>
        <w:tblW w:w="0" w:type="auto"/>
        <w:jc w:val="center"/>
        <w:tblLook w:val="04A0" w:firstRow="1" w:lastRow="0" w:firstColumn="1" w:lastColumn="0" w:noHBand="0" w:noVBand="1"/>
      </w:tblPr>
      <w:tblGrid>
        <w:gridCol w:w="4535"/>
        <w:gridCol w:w="4535"/>
      </w:tblGrid>
      <w:tr w:rsidR="00956336" w:rsidRPr="00301952" w14:paraId="303B3880" w14:textId="77777777" w:rsidTr="005A1ADF">
        <w:trPr>
          <w:trHeight w:val="80"/>
          <w:jc w:val="center"/>
        </w:trPr>
        <w:tc>
          <w:tcPr>
            <w:tcW w:w="4605" w:type="dxa"/>
          </w:tcPr>
          <w:p w14:paraId="019C1536" w14:textId="77777777" w:rsidR="00956336" w:rsidRPr="00301952" w:rsidRDefault="00956336" w:rsidP="005A1ADF">
            <w:pPr>
              <w:jc w:val="center"/>
            </w:pPr>
            <w:r w:rsidRPr="00301952">
              <w:t>_______________________________</w:t>
            </w:r>
          </w:p>
        </w:tc>
        <w:tc>
          <w:tcPr>
            <w:tcW w:w="4605" w:type="dxa"/>
          </w:tcPr>
          <w:p w14:paraId="5BE6619A" w14:textId="77777777" w:rsidR="00956336" w:rsidRPr="00301952" w:rsidRDefault="00956336" w:rsidP="005A1ADF">
            <w:pPr>
              <w:jc w:val="center"/>
            </w:pPr>
            <w:r w:rsidRPr="00301952">
              <w:t>_______________________________</w:t>
            </w:r>
          </w:p>
        </w:tc>
      </w:tr>
      <w:tr w:rsidR="00956336" w:rsidRPr="00814C64" w14:paraId="3AAD2250" w14:textId="77777777" w:rsidTr="005A1ADF">
        <w:trPr>
          <w:jc w:val="center"/>
        </w:trPr>
        <w:tc>
          <w:tcPr>
            <w:tcW w:w="4605" w:type="dxa"/>
          </w:tcPr>
          <w:p w14:paraId="6AF3467D" w14:textId="68A9433A" w:rsidR="00956336" w:rsidRPr="00301952" w:rsidRDefault="00C21172" w:rsidP="005A1ADF">
            <w:pPr>
              <w:jc w:val="center"/>
            </w:pPr>
            <w:r>
              <w:t>Ing. Jiří Šohaj</w:t>
            </w:r>
            <w:r w:rsidR="00956336" w:rsidRPr="00301952">
              <w:t xml:space="preserve"> v. r.</w:t>
            </w:r>
          </w:p>
          <w:p w14:paraId="11E407E6" w14:textId="77777777" w:rsidR="00956336" w:rsidRPr="00301952" w:rsidRDefault="00956336" w:rsidP="005A1ADF">
            <w:pPr>
              <w:jc w:val="center"/>
            </w:pPr>
            <w:r w:rsidRPr="00301952">
              <w:t>místostarosta</w:t>
            </w:r>
          </w:p>
        </w:tc>
        <w:tc>
          <w:tcPr>
            <w:tcW w:w="4605" w:type="dxa"/>
          </w:tcPr>
          <w:p w14:paraId="740FB7FA" w14:textId="377E93E4" w:rsidR="00956336" w:rsidRPr="00301952" w:rsidRDefault="00C21172" w:rsidP="005A1ADF">
            <w:pPr>
              <w:jc w:val="center"/>
            </w:pPr>
            <w:r>
              <w:t>Marcela Jarošová</w:t>
            </w:r>
            <w:r w:rsidR="00956336" w:rsidRPr="00301952">
              <w:t xml:space="preserve"> v. r.</w:t>
            </w:r>
          </w:p>
          <w:p w14:paraId="1A11DF38" w14:textId="0DFC6FCB" w:rsidR="00956336" w:rsidRPr="00814C64" w:rsidRDefault="00956336" w:rsidP="005A1ADF">
            <w:pPr>
              <w:jc w:val="center"/>
            </w:pPr>
            <w:r w:rsidRPr="00301952">
              <w:t>starost</w:t>
            </w:r>
            <w:r w:rsidR="00C21172">
              <w:t>k</w:t>
            </w:r>
            <w:r w:rsidRPr="00301952">
              <w:t>a</w:t>
            </w:r>
          </w:p>
        </w:tc>
      </w:tr>
    </w:tbl>
    <w:p w14:paraId="1F0A2F08" w14:textId="77777777" w:rsidR="00956336" w:rsidRDefault="00956336" w:rsidP="00956336"/>
    <w:p w14:paraId="64BB02D2" w14:textId="77777777" w:rsidR="00956336" w:rsidRPr="00561E02" w:rsidRDefault="00956336" w:rsidP="00956336"/>
    <w:p w14:paraId="0FF5A341" w14:textId="3CEC069D" w:rsidR="00A04E95" w:rsidRPr="00706BF0" w:rsidRDefault="00A04E95" w:rsidP="00956336">
      <w:pPr>
        <w:autoSpaceDE w:val="0"/>
        <w:rPr>
          <w:sz w:val="2"/>
          <w:szCs w:val="2"/>
        </w:rPr>
      </w:pPr>
    </w:p>
    <w:sectPr w:rsidR="00A04E95" w:rsidRPr="00706BF0" w:rsidSect="00CE27B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63B385F8" w14:textId="77777777" w:rsidR="00C624ED" w:rsidRPr="00C9237F" w:rsidRDefault="00C624ED" w:rsidP="00C624ED">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92764F7" w14:textId="77777777" w:rsidR="00C624ED" w:rsidRPr="00C9237F" w:rsidRDefault="00C624ED" w:rsidP="00C624ED">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1518997">
    <w:abstractNumId w:val="23"/>
  </w:num>
  <w:num w:numId="2" w16cid:durableId="577524104">
    <w:abstractNumId w:val="4"/>
  </w:num>
  <w:num w:numId="3" w16cid:durableId="2062897688">
    <w:abstractNumId w:val="10"/>
  </w:num>
  <w:num w:numId="4" w16cid:durableId="295725238">
    <w:abstractNumId w:val="18"/>
  </w:num>
  <w:num w:numId="5" w16cid:durableId="1651405577">
    <w:abstractNumId w:val="19"/>
  </w:num>
  <w:num w:numId="6" w16cid:durableId="1748376251">
    <w:abstractNumId w:val="20"/>
  </w:num>
  <w:num w:numId="7" w16cid:durableId="1928148101">
    <w:abstractNumId w:val="0"/>
  </w:num>
  <w:num w:numId="8" w16cid:durableId="1281105096">
    <w:abstractNumId w:val="8"/>
  </w:num>
  <w:num w:numId="9" w16cid:durableId="851840122">
    <w:abstractNumId w:val="15"/>
  </w:num>
  <w:num w:numId="10" w16cid:durableId="1530876128">
    <w:abstractNumId w:val="12"/>
  </w:num>
  <w:num w:numId="11" w16cid:durableId="270405295">
    <w:abstractNumId w:val="9"/>
  </w:num>
  <w:num w:numId="12" w16cid:durableId="1087074022">
    <w:abstractNumId w:val="17"/>
  </w:num>
  <w:num w:numId="13" w16cid:durableId="1748267877">
    <w:abstractNumId w:val="16"/>
  </w:num>
  <w:num w:numId="14" w16cid:durableId="2022735433">
    <w:abstractNumId w:val="21"/>
  </w:num>
  <w:num w:numId="15" w16cid:durableId="1389572889">
    <w:abstractNumId w:val="3"/>
  </w:num>
  <w:num w:numId="16" w16cid:durableId="285895534">
    <w:abstractNumId w:val="2"/>
  </w:num>
  <w:num w:numId="17" w16cid:durableId="1717704609">
    <w:abstractNumId w:val="13"/>
  </w:num>
  <w:num w:numId="18" w16cid:durableId="1586454721">
    <w:abstractNumId w:val="7"/>
  </w:num>
  <w:num w:numId="19" w16cid:durableId="1798377573">
    <w:abstractNumId w:val="22"/>
  </w:num>
  <w:num w:numId="20" w16cid:durableId="1692490871">
    <w:abstractNumId w:val="5"/>
  </w:num>
  <w:num w:numId="21" w16cid:durableId="1263222761">
    <w:abstractNumId w:val="11"/>
  </w:num>
  <w:num w:numId="22" w16cid:durableId="1420637789">
    <w:abstractNumId w:val="6"/>
  </w:num>
  <w:num w:numId="23" w16cid:durableId="2128234961">
    <w:abstractNumId w:val="14"/>
  </w:num>
  <w:num w:numId="24" w16cid:durableId="53774518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2F59D5"/>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14BB5"/>
    <w:rsid w:val="00425BF6"/>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C43AC"/>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37280"/>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4580"/>
    <w:rsid w:val="00B00B3D"/>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07F6A"/>
    <w:rsid w:val="00C21172"/>
    <w:rsid w:val="00C225AE"/>
    <w:rsid w:val="00C30025"/>
    <w:rsid w:val="00C32B62"/>
    <w:rsid w:val="00C42DAC"/>
    <w:rsid w:val="00C50FE6"/>
    <w:rsid w:val="00C51945"/>
    <w:rsid w:val="00C51A52"/>
    <w:rsid w:val="00C55AB0"/>
    <w:rsid w:val="00C610D8"/>
    <w:rsid w:val="00C624ED"/>
    <w:rsid w:val="00C654DA"/>
    <w:rsid w:val="00C8082F"/>
    <w:rsid w:val="00C93F6E"/>
    <w:rsid w:val="00C96D47"/>
    <w:rsid w:val="00C97839"/>
    <w:rsid w:val="00CA2607"/>
    <w:rsid w:val="00CA614E"/>
    <w:rsid w:val="00CA7230"/>
    <w:rsid w:val="00CB4041"/>
    <w:rsid w:val="00CB4FA3"/>
    <w:rsid w:val="00CC599C"/>
    <w:rsid w:val="00CD10D3"/>
    <w:rsid w:val="00CD4FB3"/>
    <w:rsid w:val="00CE0470"/>
    <w:rsid w:val="00CE27B2"/>
    <w:rsid w:val="00D02409"/>
    <w:rsid w:val="00D02DAF"/>
    <w:rsid w:val="00D1130D"/>
    <w:rsid w:val="00D17A87"/>
    <w:rsid w:val="00D233A2"/>
    <w:rsid w:val="00D33447"/>
    <w:rsid w:val="00D4073B"/>
    <w:rsid w:val="00D603FA"/>
    <w:rsid w:val="00D6118C"/>
    <w:rsid w:val="00D70DBF"/>
    <w:rsid w:val="00D84CF0"/>
    <w:rsid w:val="00DA00B1"/>
    <w:rsid w:val="00DA22FF"/>
    <w:rsid w:val="00DA77BD"/>
    <w:rsid w:val="00DB024E"/>
    <w:rsid w:val="00DB31C9"/>
    <w:rsid w:val="00DB5340"/>
    <w:rsid w:val="00DB5457"/>
    <w:rsid w:val="00DB7E85"/>
    <w:rsid w:val="00DC1C84"/>
    <w:rsid w:val="00DC1F85"/>
    <w:rsid w:val="00DD0AC8"/>
    <w:rsid w:val="00DD6114"/>
    <w:rsid w:val="00DD7F8C"/>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2588"/>
    <w:rsid w:val="00ED4053"/>
    <w:rsid w:val="00EE3BBF"/>
    <w:rsid w:val="00EF1694"/>
    <w:rsid w:val="00F07056"/>
    <w:rsid w:val="00F15E55"/>
    <w:rsid w:val="00F233E8"/>
    <w:rsid w:val="00F277C4"/>
    <w:rsid w:val="00F32935"/>
    <w:rsid w:val="00F371D3"/>
    <w:rsid w:val="00F37563"/>
    <w:rsid w:val="00F42CC2"/>
    <w:rsid w:val="00F46A45"/>
    <w:rsid w:val="00F506E3"/>
    <w:rsid w:val="00F7290B"/>
    <w:rsid w:val="00F7691B"/>
    <w:rsid w:val="00F82342"/>
    <w:rsid w:val="00F840BE"/>
    <w:rsid w:val="00F878E9"/>
    <w:rsid w:val="00F94A1D"/>
    <w:rsid w:val="00FB5B9D"/>
    <w:rsid w:val="00FB6E65"/>
    <w:rsid w:val="00FC34E0"/>
    <w:rsid w:val="00FC6033"/>
    <w:rsid w:val="00FD0203"/>
    <w:rsid w:val="00FD278F"/>
    <w:rsid w:val="00FD312A"/>
    <w:rsid w:val="00FD7AE0"/>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262</Words>
  <Characters>1409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czp</cp:lastModifiedBy>
  <cp:revision>4</cp:revision>
  <cp:lastPrinted>2024-06-20T10:36:00Z</cp:lastPrinted>
  <dcterms:created xsi:type="dcterms:W3CDTF">2024-05-23T10:26:00Z</dcterms:created>
  <dcterms:modified xsi:type="dcterms:W3CDTF">2024-06-20T10:37:00Z</dcterms:modified>
</cp:coreProperties>
</file>