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976954" w14:textId="23D91FEE" w:rsidR="008712AC" w:rsidRPr="0079488E" w:rsidRDefault="0079488E" w:rsidP="0079488E">
      <w:pPr>
        <w:spacing w:after="0"/>
        <w:jc w:val="center"/>
        <w:rPr>
          <w:b/>
          <w:sz w:val="32"/>
          <w:szCs w:val="28"/>
        </w:rPr>
      </w:pPr>
      <w:r w:rsidRPr="0079488E">
        <w:rPr>
          <w:b/>
          <w:sz w:val="32"/>
          <w:szCs w:val="28"/>
        </w:rPr>
        <w:t>Obec Horní Vilémovice</w:t>
      </w:r>
    </w:p>
    <w:p w14:paraId="45352BAB" w14:textId="19643833" w:rsidR="0079488E" w:rsidRPr="0079488E" w:rsidRDefault="0079488E" w:rsidP="0079488E">
      <w:pPr>
        <w:spacing w:after="120"/>
        <w:jc w:val="center"/>
        <w:rPr>
          <w:b/>
          <w:sz w:val="32"/>
          <w:szCs w:val="28"/>
        </w:rPr>
      </w:pPr>
      <w:r w:rsidRPr="0079488E">
        <w:rPr>
          <w:b/>
          <w:sz w:val="32"/>
          <w:szCs w:val="28"/>
        </w:rPr>
        <w:t>Zastupitelstvo obce Horní Vilémovice</w:t>
      </w:r>
    </w:p>
    <w:p w14:paraId="03678C87" w14:textId="77777777" w:rsidR="0079488E" w:rsidRDefault="0079488E" w:rsidP="0079488E">
      <w:pPr>
        <w:spacing w:after="120"/>
        <w:jc w:val="center"/>
        <w:rPr>
          <w:b/>
          <w:sz w:val="28"/>
          <w:szCs w:val="24"/>
        </w:rPr>
      </w:pPr>
    </w:p>
    <w:p w14:paraId="2AC850B4" w14:textId="77B3503F" w:rsidR="0079488E" w:rsidRPr="0079488E" w:rsidRDefault="0079488E" w:rsidP="00BB7B3C">
      <w:pPr>
        <w:spacing w:after="0" w:line="240" w:lineRule="auto"/>
        <w:jc w:val="center"/>
        <w:rPr>
          <w:bCs/>
          <w:sz w:val="28"/>
          <w:szCs w:val="24"/>
        </w:rPr>
      </w:pPr>
      <w:r w:rsidRPr="0079488E">
        <w:rPr>
          <w:bCs/>
          <w:sz w:val="28"/>
          <w:szCs w:val="24"/>
        </w:rPr>
        <w:t>Obecně závazná vyhláška obce č. 1/202</w:t>
      </w:r>
      <w:r w:rsidR="000C0B05">
        <w:rPr>
          <w:bCs/>
          <w:sz w:val="28"/>
          <w:szCs w:val="24"/>
        </w:rPr>
        <w:t>5</w:t>
      </w:r>
    </w:p>
    <w:p w14:paraId="5E4D1F16" w14:textId="27A23A26" w:rsidR="0079488E" w:rsidRDefault="0079488E" w:rsidP="0079488E">
      <w:pPr>
        <w:spacing w:after="120"/>
        <w:jc w:val="center"/>
        <w:rPr>
          <w:bCs/>
          <w:sz w:val="28"/>
          <w:szCs w:val="24"/>
        </w:rPr>
      </w:pPr>
      <w:r w:rsidRPr="0079488E">
        <w:rPr>
          <w:bCs/>
          <w:sz w:val="28"/>
          <w:szCs w:val="24"/>
        </w:rPr>
        <w:t>o stanovení obecního systému odpadového hospodářství</w:t>
      </w:r>
    </w:p>
    <w:p w14:paraId="28414BC6" w14:textId="77777777" w:rsidR="0079488E" w:rsidRDefault="0079488E" w:rsidP="0079488E">
      <w:pPr>
        <w:spacing w:after="120"/>
        <w:jc w:val="center"/>
        <w:rPr>
          <w:bCs/>
          <w:sz w:val="28"/>
          <w:szCs w:val="24"/>
        </w:rPr>
      </w:pPr>
    </w:p>
    <w:p w14:paraId="7A35B4BA" w14:textId="4BCA843E" w:rsidR="0079488E" w:rsidRPr="0079488E" w:rsidRDefault="0079488E" w:rsidP="0079488E">
      <w:pPr>
        <w:spacing w:after="120"/>
        <w:jc w:val="both"/>
        <w:rPr>
          <w:bCs/>
          <w:sz w:val="24"/>
        </w:rPr>
      </w:pPr>
      <w:r w:rsidRPr="0079488E">
        <w:rPr>
          <w:bCs/>
          <w:sz w:val="24"/>
        </w:rPr>
        <w:t xml:space="preserve">Zastupitelstvo obce </w:t>
      </w:r>
      <w:r>
        <w:rPr>
          <w:bCs/>
          <w:sz w:val="24"/>
        </w:rPr>
        <w:t>Horní Vilémovice</w:t>
      </w:r>
      <w:r w:rsidRPr="0079488E">
        <w:rPr>
          <w:bCs/>
          <w:sz w:val="24"/>
        </w:rPr>
        <w:t xml:space="preserve"> se na svém zasedání dne </w:t>
      </w:r>
      <w:r>
        <w:rPr>
          <w:bCs/>
          <w:sz w:val="24"/>
        </w:rPr>
        <w:t>16. prosince 2025</w:t>
      </w:r>
      <w:r w:rsidRPr="0079488E">
        <w:rPr>
          <w:bCs/>
          <w:sz w:val="24"/>
        </w:rPr>
        <w:t xml:space="preserve"> usnesením č.</w:t>
      </w:r>
      <w:r>
        <w:rPr>
          <w:bCs/>
          <w:sz w:val="24"/>
        </w:rPr>
        <w:t> 10</w:t>
      </w:r>
      <w:r w:rsidR="00A843DE">
        <w:rPr>
          <w:bCs/>
          <w:sz w:val="24"/>
        </w:rPr>
        <w:t xml:space="preserve"> </w:t>
      </w:r>
      <w:r>
        <w:rPr>
          <w:bCs/>
          <w:sz w:val="24"/>
        </w:rPr>
        <w:t>u</w:t>
      </w:r>
      <w:r w:rsidRPr="0079488E">
        <w:rPr>
          <w:bCs/>
          <w:sz w:val="24"/>
        </w:rPr>
        <w:t>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14:paraId="561A7A1C" w14:textId="77777777" w:rsidR="007A196F" w:rsidRDefault="007A196F" w:rsidP="00A90CA8">
      <w:pPr>
        <w:spacing w:after="0" w:line="240" w:lineRule="auto"/>
        <w:jc w:val="center"/>
        <w:rPr>
          <w:b/>
          <w:sz w:val="24"/>
        </w:rPr>
      </w:pPr>
    </w:p>
    <w:p w14:paraId="0CC43957" w14:textId="10B04A2E" w:rsidR="0079488E" w:rsidRPr="00BB7B3C" w:rsidRDefault="0079488E" w:rsidP="00A90CA8">
      <w:pPr>
        <w:spacing w:after="0" w:line="240" w:lineRule="auto"/>
        <w:jc w:val="center"/>
        <w:rPr>
          <w:b/>
          <w:sz w:val="24"/>
        </w:rPr>
      </w:pPr>
      <w:r w:rsidRPr="00BB7B3C">
        <w:rPr>
          <w:b/>
          <w:sz w:val="24"/>
        </w:rPr>
        <w:t>Článek 1</w:t>
      </w:r>
    </w:p>
    <w:p w14:paraId="3B028B68" w14:textId="393D57FF" w:rsidR="0079488E" w:rsidRDefault="0079488E" w:rsidP="00BB7B3C">
      <w:pPr>
        <w:spacing w:after="120" w:line="240" w:lineRule="auto"/>
        <w:jc w:val="center"/>
        <w:rPr>
          <w:b/>
          <w:sz w:val="24"/>
        </w:rPr>
      </w:pPr>
      <w:r w:rsidRPr="00BB7B3C">
        <w:rPr>
          <w:b/>
          <w:sz w:val="24"/>
        </w:rPr>
        <w:t>Úvodní ustanovení</w:t>
      </w:r>
    </w:p>
    <w:p w14:paraId="4B847289" w14:textId="4908C466" w:rsidR="00BB7B3C" w:rsidRDefault="00BB7B3C" w:rsidP="00BB7B3C">
      <w:pPr>
        <w:numPr>
          <w:ilvl w:val="0"/>
          <w:numId w:val="2"/>
        </w:numPr>
        <w:spacing w:after="120" w:line="240" w:lineRule="auto"/>
        <w:jc w:val="both"/>
        <w:rPr>
          <w:bCs/>
          <w:sz w:val="24"/>
        </w:rPr>
      </w:pPr>
      <w:r w:rsidRPr="00BB7B3C">
        <w:rPr>
          <w:bCs/>
          <w:sz w:val="24"/>
        </w:rPr>
        <w:t>Tato vyhláška stanovuje obecní systém odpadového hospodářství na území obce</w:t>
      </w:r>
      <w:r>
        <w:rPr>
          <w:bCs/>
          <w:sz w:val="24"/>
        </w:rPr>
        <w:t xml:space="preserve"> Horní Vilémovice.</w:t>
      </w:r>
    </w:p>
    <w:p w14:paraId="2C9C514A" w14:textId="6718308B" w:rsidR="00BB7B3C" w:rsidRDefault="00BB7B3C" w:rsidP="00BB7B3C">
      <w:pPr>
        <w:numPr>
          <w:ilvl w:val="0"/>
          <w:numId w:val="2"/>
        </w:numPr>
        <w:spacing w:after="120" w:line="240" w:lineRule="auto"/>
        <w:jc w:val="both"/>
        <w:rPr>
          <w:bCs/>
          <w:sz w:val="24"/>
        </w:rPr>
      </w:pPr>
      <w:r w:rsidRPr="00BB7B3C">
        <w:rPr>
          <w:bCs/>
          <w:sz w:val="24"/>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apoznpodarou"/>
          <w:bCs/>
          <w:sz w:val="24"/>
        </w:rPr>
        <w:footnoteReference w:id="1"/>
      </w:r>
      <w:r>
        <w:rPr>
          <w:bCs/>
          <w:sz w:val="24"/>
        </w:rPr>
        <w:t>.</w:t>
      </w:r>
    </w:p>
    <w:p w14:paraId="020198E9" w14:textId="6099B1C0" w:rsidR="00BB7B3C" w:rsidRDefault="00BB7B3C" w:rsidP="00BB7B3C">
      <w:pPr>
        <w:numPr>
          <w:ilvl w:val="0"/>
          <w:numId w:val="2"/>
        </w:numPr>
        <w:spacing w:after="120" w:line="240" w:lineRule="auto"/>
        <w:jc w:val="both"/>
        <w:rPr>
          <w:bCs/>
          <w:sz w:val="24"/>
        </w:rPr>
      </w:pPr>
      <w:r w:rsidRPr="00BB7B3C">
        <w:rPr>
          <w:bCs/>
          <w:sz w:val="24"/>
        </w:rPr>
        <w:t>V okamžiku, kdy osoba zapojená do obecního systému odloží movitou věc nebo odpad, s výjimkou výrobků s ukončenou životností, na místě obcí k tomuto účelu určeném, stává se obec vlastníkem této movité věci nebo odpadu</w:t>
      </w:r>
      <w:r>
        <w:rPr>
          <w:rStyle w:val="Znakapoznpodarou"/>
          <w:bCs/>
          <w:sz w:val="24"/>
        </w:rPr>
        <w:footnoteReference w:id="2"/>
      </w:r>
      <w:r>
        <w:rPr>
          <w:bCs/>
          <w:sz w:val="24"/>
        </w:rPr>
        <w:t>.</w:t>
      </w:r>
    </w:p>
    <w:p w14:paraId="2D29DBD6" w14:textId="77B2A2FD" w:rsidR="00BB7B3C" w:rsidRDefault="00BB7B3C" w:rsidP="00BB7B3C">
      <w:pPr>
        <w:numPr>
          <w:ilvl w:val="0"/>
          <w:numId w:val="2"/>
        </w:numPr>
        <w:spacing w:after="120" w:line="240" w:lineRule="auto"/>
        <w:jc w:val="both"/>
        <w:rPr>
          <w:bCs/>
          <w:sz w:val="24"/>
        </w:rPr>
      </w:pPr>
      <w:r w:rsidRPr="00BB7B3C">
        <w:rPr>
          <w:bCs/>
          <w:sz w:val="24"/>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529241AC" w14:textId="77777777" w:rsidR="00BB7B3C" w:rsidRDefault="00BB7B3C" w:rsidP="00BB7B3C">
      <w:pPr>
        <w:spacing w:after="120" w:line="240" w:lineRule="auto"/>
        <w:jc w:val="center"/>
        <w:rPr>
          <w:bCs/>
          <w:sz w:val="24"/>
        </w:rPr>
      </w:pPr>
    </w:p>
    <w:p w14:paraId="0714BA02" w14:textId="66AB291B" w:rsidR="00BB7B3C" w:rsidRPr="00BB7B3C" w:rsidRDefault="00BB7B3C" w:rsidP="00A90CA8">
      <w:pPr>
        <w:spacing w:after="0" w:line="240" w:lineRule="auto"/>
        <w:jc w:val="center"/>
        <w:rPr>
          <w:b/>
          <w:sz w:val="24"/>
        </w:rPr>
      </w:pPr>
      <w:r w:rsidRPr="00BB7B3C">
        <w:rPr>
          <w:b/>
          <w:sz w:val="24"/>
        </w:rPr>
        <w:t xml:space="preserve">Článek </w:t>
      </w:r>
      <w:r>
        <w:rPr>
          <w:b/>
          <w:sz w:val="24"/>
        </w:rPr>
        <w:t>2</w:t>
      </w:r>
    </w:p>
    <w:p w14:paraId="3CF17A9C" w14:textId="20050CB9" w:rsidR="00BB7B3C" w:rsidRDefault="00BB7B3C" w:rsidP="00BB7B3C">
      <w:pPr>
        <w:spacing w:after="120" w:line="240" w:lineRule="auto"/>
        <w:jc w:val="center"/>
        <w:rPr>
          <w:b/>
          <w:sz w:val="24"/>
        </w:rPr>
      </w:pPr>
      <w:r w:rsidRPr="00BB7B3C">
        <w:rPr>
          <w:b/>
          <w:sz w:val="24"/>
        </w:rPr>
        <w:t>Oddělené soustřeďování komunálního odpadu</w:t>
      </w:r>
    </w:p>
    <w:p w14:paraId="478814B6" w14:textId="1494F1D3" w:rsidR="00BB7B3C" w:rsidRDefault="00BB7B3C" w:rsidP="00A90CA8">
      <w:pPr>
        <w:numPr>
          <w:ilvl w:val="0"/>
          <w:numId w:val="3"/>
        </w:numPr>
        <w:spacing w:after="120" w:line="240" w:lineRule="auto"/>
        <w:ind w:left="714" w:hanging="357"/>
        <w:jc w:val="both"/>
        <w:rPr>
          <w:bCs/>
          <w:sz w:val="24"/>
        </w:rPr>
      </w:pPr>
      <w:r w:rsidRPr="00BB7B3C">
        <w:rPr>
          <w:bCs/>
          <w:sz w:val="24"/>
        </w:rPr>
        <w:t>Osoby předávající komunální odpad na místa určená obcí jsou povinny odděleně soustřeďovat následující složky:</w:t>
      </w:r>
    </w:p>
    <w:p w14:paraId="48BF65C4" w14:textId="09DB21C8" w:rsidR="00BB7B3C" w:rsidRPr="00BB7B3C" w:rsidRDefault="00BB7B3C" w:rsidP="00A90CA8">
      <w:pPr>
        <w:numPr>
          <w:ilvl w:val="0"/>
          <w:numId w:val="4"/>
        </w:numPr>
        <w:spacing w:after="0" w:line="240" w:lineRule="auto"/>
        <w:ind w:left="1434" w:hanging="357"/>
        <w:jc w:val="both"/>
        <w:rPr>
          <w:bCs/>
          <w:iCs/>
          <w:sz w:val="24"/>
        </w:rPr>
      </w:pPr>
      <w:r w:rsidRPr="00BB7B3C">
        <w:rPr>
          <w:bCs/>
          <w:iCs/>
          <w:sz w:val="24"/>
        </w:rPr>
        <w:t>biologické odpady rostlinného původu</w:t>
      </w:r>
      <w:r w:rsidR="00081D14">
        <w:rPr>
          <w:bCs/>
          <w:iCs/>
          <w:sz w:val="24"/>
        </w:rPr>
        <w:t>,</w:t>
      </w:r>
    </w:p>
    <w:p w14:paraId="2AB51290" w14:textId="36AB9DD2" w:rsidR="00BB7B3C" w:rsidRDefault="00BB7B3C" w:rsidP="00A90CA8">
      <w:pPr>
        <w:numPr>
          <w:ilvl w:val="0"/>
          <w:numId w:val="4"/>
        </w:numPr>
        <w:spacing w:after="0" w:line="240" w:lineRule="auto"/>
        <w:ind w:left="1434" w:hanging="357"/>
        <w:jc w:val="both"/>
        <w:rPr>
          <w:bCs/>
          <w:sz w:val="24"/>
        </w:rPr>
      </w:pPr>
      <w:r>
        <w:rPr>
          <w:bCs/>
          <w:sz w:val="24"/>
        </w:rPr>
        <w:t>papír</w:t>
      </w:r>
      <w:r w:rsidR="00081D14">
        <w:rPr>
          <w:bCs/>
          <w:sz w:val="24"/>
        </w:rPr>
        <w:t>,</w:t>
      </w:r>
    </w:p>
    <w:p w14:paraId="66D21631" w14:textId="70D2428D" w:rsidR="00BB7B3C" w:rsidRDefault="00BB7B3C" w:rsidP="00A90CA8">
      <w:pPr>
        <w:numPr>
          <w:ilvl w:val="0"/>
          <w:numId w:val="4"/>
        </w:numPr>
        <w:spacing w:after="0" w:line="240" w:lineRule="auto"/>
        <w:ind w:left="1434" w:hanging="357"/>
        <w:jc w:val="both"/>
        <w:rPr>
          <w:bCs/>
          <w:sz w:val="24"/>
        </w:rPr>
      </w:pPr>
      <w:r>
        <w:rPr>
          <w:bCs/>
          <w:sz w:val="24"/>
        </w:rPr>
        <w:t>plasty včetně PET lahví</w:t>
      </w:r>
      <w:r w:rsidR="00081D14">
        <w:rPr>
          <w:bCs/>
          <w:sz w:val="24"/>
        </w:rPr>
        <w:t>,</w:t>
      </w:r>
    </w:p>
    <w:p w14:paraId="04F93B7F" w14:textId="4D4FFD14" w:rsidR="00081D14" w:rsidRDefault="00081D14" w:rsidP="00A90CA8">
      <w:pPr>
        <w:numPr>
          <w:ilvl w:val="0"/>
          <w:numId w:val="4"/>
        </w:numPr>
        <w:spacing w:after="0" w:line="240" w:lineRule="auto"/>
        <w:ind w:left="1434" w:hanging="357"/>
        <w:jc w:val="both"/>
        <w:rPr>
          <w:bCs/>
          <w:sz w:val="24"/>
        </w:rPr>
      </w:pPr>
      <w:r>
        <w:rPr>
          <w:bCs/>
          <w:sz w:val="24"/>
        </w:rPr>
        <w:t>sklo,</w:t>
      </w:r>
    </w:p>
    <w:p w14:paraId="1EDB2E62" w14:textId="10ACCACD" w:rsidR="00081D14" w:rsidRDefault="00081D14" w:rsidP="00A90CA8">
      <w:pPr>
        <w:numPr>
          <w:ilvl w:val="0"/>
          <w:numId w:val="4"/>
        </w:numPr>
        <w:spacing w:after="0" w:line="240" w:lineRule="auto"/>
        <w:ind w:left="1434" w:hanging="357"/>
        <w:jc w:val="both"/>
        <w:rPr>
          <w:bCs/>
          <w:sz w:val="24"/>
        </w:rPr>
      </w:pPr>
      <w:r>
        <w:rPr>
          <w:bCs/>
          <w:sz w:val="24"/>
        </w:rPr>
        <w:t>kovy,</w:t>
      </w:r>
    </w:p>
    <w:p w14:paraId="00B0A764" w14:textId="4FECC87A" w:rsidR="00081D14" w:rsidRDefault="00081D14" w:rsidP="00A90CA8">
      <w:pPr>
        <w:numPr>
          <w:ilvl w:val="0"/>
          <w:numId w:val="4"/>
        </w:numPr>
        <w:spacing w:after="0" w:line="240" w:lineRule="auto"/>
        <w:jc w:val="both"/>
        <w:rPr>
          <w:bCs/>
          <w:sz w:val="24"/>
        </w:rPr>
      </w:pPr>
      <w:r>
        <w:rPr>
          <w:bCs/>
          <w:sz w:val="24"/>
        </w:rPr>
        <w:lastRenderedPageBreak/>
        <w:t>nebezpečné odpady,</w:t>
      </w:r>
    </w:p>
    <w:p w14:paraId="1C842753" w14:textId="49D3DE64" w:rsidR="00081D14" w:rsidRDefault="00081D14" w:rsidP="00A90CA8">
      <w:pPr>
        <w:numPr>
          <w:ilvl w:val="0"/>
          <w:numId w:val="4"/>
        </w:numPr>
        <w:spacing w:after="0" w:line="240" w:lineRule="auto"/>
        <w:jc w:val="both"/>
        <w:rPr>
          <w:bCs/>
          <w:sz w:val="24"/>
        </w:rPr>
      </w:pPr>
      <w:r>
        <w:rPr>
          <w:bCs/>
          <w:sz w:val="24"/>
        </w:rPr>
        <w:t>objemný odpad,</w:t>
      </w:r>
    </w:p>
    <w:p w14:paraId="373314C5" w14:textId="52FE8903" w:rsidR="00081D14" w:rsidRDefault="00081D14" w:rsidP="00A90CA8">
      <w:pPr>
        <w:numPr>
          <w:ilvl w:val="0"/>
          <w:numId w:val="4"/>
        </w:numPr>
        <w:spacing w:after="0" w:line="240" w:lineRule="auto"/>
        <w:jc w:val="both"/>
        <w:rPr>
          <w:bCs/>
          <w:sz w:val="24"/>
        </w:rPr>
      </w:pPr>
      <w:r>
        <w:rPr>
          <w:bCs/>
          <w:sz w:val="24"/>
        </w:rPr>
        <w:t>jedlé oleje a tuky,</w:t>
      </w:r>
    </w:p>
    <w:p w14:paraId="19393A8C" w14:textId="000DBD93" w:rsidR="00081D14" w:rsidRDefault="00081D14" w:rsidP="00A90CA8">
      <w:pPr>
        <w:numPr>
          <w:ilvl w:val="0"/>
          <w:numId w:val="4"/>
        </w:numPr>
        <w:spacing w:after="0" w:line="240" w:lineRule="auto"/>
        <w:jc w:val="both"/>
        <w:rPr>
          <w:bCs/>
          <w:sz w:val="24"/>
        </w:rPr>
      </w:pPr>
      <w:r>
        <w:rPr>
          <w:bCs/>
          <w:sz w:val="24"/>
        </w:rPr>
        <w:t>textil</w:t>
      </w:r>
    </w:p>
    <w:p w14:paraId="4E78BA68" w14:textId="74A5B969" w:rsidR="00081D14" w:rsidRDefault="00081D14" w:rsidP="00A90CA8">
      <w:pPr>
        <w:numPr>
          <w:ilvl w:val="0"/>
          <w:numId w:val="4"/>
        </w:numPr>
        <w:spacing w:after="240" w:line="240" w:lineRule="auto"/>
        <w:ind w:left="1434" w:hanging="357"/>
        <w:jc w:val="both"/>
        <w:rPr>
          <w:bCs/>
          <w:sz w:val="24"/>
        </w:rPr>
      </w:pPr>
      <w:r>
        <w:rPr>
          <w:bCs/>
          <w:sz w:val="24"/>
        </w:rPr>
        <w:t>směsný komunální odpad</w:t>
      </w:r>
    </w:p>
    <w:p w14:paraId="6A7CF5C5" w14:textId="59261BFC" w:rsidR="00BB7B3C" w:rsidRDefault="00A90CA8" w:rsidP="009C316B">
      <w:pPr>
        <w:numPr>
          <w:ilvl w:val="0"/>
          <w:numId w:val="3"/>
        </w:numPr>
        <w:spacing w:after="120" w:line="240" w:lineRule="auto"/>
        <w:jc w:val="both"/>
        <w:rPr>
          <w:bCs/>
          <w:sz w:val="24"/>
        </w:rPr>
      </w:pPr>
      <w:r>
        <w:rPr>
          <w:bCs/>
          <w:sz w:val="24"/>
        </w:rPr>
        <w:t xml:space="preserve">Směsným </w:t>
      </w:r>
      <w:r w:rsidRPr="00A90CA8">
        <w:rPr>
          <w:bCs/>
          <w:sz w:val="24"/>
        </w:rPr>
        <w:t>komunálním odpadem se rozumí zbylý komunální odpad po stanoveném vytřídění podle odstavce 1 písm. a), b), c), d), e), f), g), h) a i).</w:t>
      </w:r>
    </w:p>
    <w:p w14:paraId="11B5E518" w14:textId="7408877A" w:rsidR="00A90CA8" w:rsidRDefault="00A90CA8" w:rsidP="009C316B">
      <w:pPr>
        <w:numPr>
          <w:ilvl w:val="0"/>
          <w:numId w:val="3"/>
        </w:numPr>
        <w:spacing w:after="120" w:line="240" w:lineRule="auto"/>
        <w:jc w:val="both"/>
        <w:rPr>
          <w:bCs/>
          <w:sz w:val="24"/>
        </w:rPr>
      </w:pPr>
      <w:r w:rsidRPr="00A90CA8">
        <w:rPr>
          <w:bCs/>
          <w:sz w:val="24"/>
        </w:rPr>
        <w:t>Objemný odpad je takový odpad, který vzhledem ke svým rozměrům nemůže být umístěn do sběrných</w:t>
      </w:r>
      <w:r>
        <w:rPr>
          <w:bCs/>
          <w:sz w:val="24"/>
        </w:rPr>
        <w:t xml:space="preserve"> nádob (např. koberce, matrace, nábytek, …).</w:t>
      </w:r>
    </w:p>
    <w:p w14:paraId="0738ED16" w14:textId="77777777" w:rsidR="00A90CA8" w:rsidRDefault="00A90CA8" w:rsidP="00A90CA8">
      <w:pPr>
        <w:spacing w:after="120" w:line="240" w:lineRule="auto"/>
        <w:jc w:val="both"/>
        <w:rPr>
          <w:bCs/>
          <w:sz w:val="24"/>
        </w:rPr>
      </w:pPr>
    </w:p>
    <w:p w14:paraId="0282AA2B" w14:textId="578A69C5" w:rsidR="00A90CA8" w:rsidRPr="00BB7B3C" w:rsidRDefault="00A90CA8" w:rsidP="00A90CA8">
      <w:pPr>
        <w:spacing w:after="0" w:line="240" w:lineRule="auto"/>
        <w:jc w:val="center"/>
        <w:rPr>
          <w:b/>
          <w:sz w:val="24"/>
        </w:rPr>
      </w:pPr>
      <w:r w:rsidRPr="00BB7B3C">
        <w:rPr>
          <w:b/>
          <w:sz w:val="24"/>
        </w:rPr>
        <w:t xml:space="preserve">Článek </w:t>
      </w:r>
      <w:r>
        <w:rPr>
          <w:b/>
          <w:sz w:val="24"/>
        </w:rPr>
        <w:t>3</w:t>
      </w:r>
    </w:p>
    <w:p w14:paraId="1190063C" w14:textId="4E01C3B3" w:rsidR="00A90CA8" w:rsidRPr="00BB7B3C" w:rsidRDefault="00A90CA8" w:rsidP="00A90CA8">
      <w:pPr>
        <w:spacing w:after="120" w:line="240" w:lineRule="auto"/>
        <w:jc w:val="center"/>
        <w:rPr>
          <w:bCs/>
          <w:sz w:val="24"/>
        </w:rPr>
      </w:pPr>
      <w:r w:rsidRPr="00A90CA8">
        <w:rPr>
          <w:b/>
          <w:bCs/>
          <w:sz w:val="24"/>
        </w:rPr>
        <w:t>Soustřeďování papíru, plastů, skla, kovů, biologického odpadu rostlinného původu, jedlých olejů a tuků, textilu</w:t>
      </w:r>
    </w:p>
    <w:p w14:paraId="49CCF249" w14:textId="3A2A4192" w:rsidR="00BB7B3C" w:rsidRDefault="00A77445" w:rsidP="009C316B">
      <w:pPr>
        <w:numPr>
          <w:ilvl w:val="0"/>
          <w:numId w:val="6"/>
        </w:numPr>
        <w:spacing w:after="120" w:line="240" w:lineRule="auto"/>
        <w:jc w:val="both"/>
        <w:rPr>
          <w:bCs/>
          <w:sz w:val="24"/>
        </w:rPr>
      </w:pPr>
      <w:r w:rsidRPr="00A77445">
        <w:rPr>
          <w:bCs/>
          <w:sz w:val="24"/>
        </w:rPr>
        <w:t>Papír, plasty, sklo, kovy, biologické odpady rostlinného původ</w:t>
      </w:r>
      <w:r>
        <w:rPr>
          <w:bCs/>
          <w:sz w:val="24"/>
        </w:rPr>
        <w:t>u</w:t>
      </w:r>
      <w:r w:rsidRPr="00A77445">
        <w:rPr>
          <w:bCs/>
          <w:sz w:val="24"/>
        </w:rPr>
        <w:t xml:space="preserve"> se soustřeďují do zvláštních sběrných nádob, kterými jsou</w:t>
      </w:r>
      <w:r>
        <w:rPr>
          <w:bCs/>
          <w:sz w:val="24"/>
        </w:rPr>
        <w:t xml:space="preserve"> kontejnery na tříděný odpad.</w:t>
      </w:r>
    </w:p>
    <w:p w14:paraId="50D0AA4A" w14:textId="079C9F3A" w:rsidR="009C316B" w:rsidRDefault="00A67E9C" w:rsidP="009C316B">
      <w:pPr>
        <w:numPr>
          <w:ilvl w:val="0"/>
          <w:numId w:val="6"/>
        </w:numPr>
        <w:spacing w:after="120" w:line="240" w:lineRule="auto"/>
        <w:jc w:val="both"/>
        <w:rPr>
          <w:bCs/>
          <w:sz w:val="24"/>
        </w:rPr>
      </w:pPr>
      <w:r>
        <w:rPr>
          <w:bCs/>
          <w:sz w:val="24"/>
        </w:rPr>
        <w:t xml:space="preserve">Zvláštní sběrné nádoby </w:t>
      </w:r>
      <w:r w:rsidR="009C316B">
        <w:rPr>
          <w:bCs/>
          <w:sz w:val="24"/>
        </w:rPr>
        <w:t xml:space="preserve">na biologické odpady rostlinného původu, sběrné nádoby na sklo bílé a barevné, kovy, plasty a PET lahve </w:t>
      </w:r>
      <w:r>
        <w:rPr>
          <w:bCs/>
          <w:sz w:val="24"/>
        </w:rPr>
        <w:t xml:space="preserve">jsou </w:t>
      </w:r>
      <w:r w:rsidR="009C316B">
        <w:rPr>
          <w:bCs/>
          <w:sz w:val="24"/>
        </w:rPr>
        <w:t>umístěny na stanovišti tříděného odpadu naproti č. p. 7.</w:t>
      </w:r>
    </w:p>
    <w:p w14:paraId="5645C187" w14:textId="6A5D52B6" w:rsidR="00A843DE" w:rsidRDefault="00A843DE" w:rsidP="009C316B">
      <w:pPr>
        <w:numPr>
          <w:ilvl w:val="0"/>
          <w:numId w:val="6"/>
        </w:numPr>
        <w:spacing w:after="120" w:line="240" w:lineRule="auto"/>
        <w:jc w:val="both"/>
        <w:rPr>
          <w:bCs/>
          <w:sz w:val="24"/>
        </w:rPr>
      </w:pPr>
      <w:r>
        <w:rPr>
          <w:bCs/>
          <w:sz w:val="24"/>
        </w:rPr>
        <w:t>Zvláštní sběrné nádoby jsou barevně odlišeny a označeny příslušnými nápisy:</w:t>
      </w:r>
    </w:p>
    <w:p w14:paraId="06A0D17D" w14:textId="11EE738A" w:rsidR="00A843DE" w:rsidRDefault="00A843DE" w:rsidP="00A843DE">
      <w:pPr>
        <w:numPr>
          <w:ilvl w:val="1"/>
          <w:numId w:val="6"/>
        </w:numPr>
        <w:spacing w:after="120" w:line="240" w:lineRule="auto"/>
        <w:jc w:val="both"/>
        <w:rPr>
          <w:bCs/>
          <w:sz w:val="24"/>
        </w:rPr>
      </w:pPr>
      <w:r>
        <w:rPr>
          <w:bCs/>
          <w:sz w:val="24"/>
        </w:rPr>
        <w:t>biologické odpady rostlinného původu – barva hnědá, velkoobjemový kontejner – barva zelená s nápisem Bioodpad,</w:t>
      </w:r>
    </w:p>
    <w:p w14:paraId="610545DC" w14:textId="5A6D1071" w:rsidR="00A843DE" w:rsidRDefault="00A843DE" w:rsidP="00A843DE">
      <w:pPr>
        <w:numPr>
          <w:ilvl w:val="1"/>
          <w:numId w:val="6"/>
        </w:numPr>
        <w:spacing w:after="120" w:line="240" w:lineRule="auto"/>
        <w:jc w:val="both"/>
        <w:rPr>
          <w:bCs/>
          <w:sz w:val="24"/>
        </w:rPr>
      </w:pPr>
      <w:r>
        <w:rPr>
          <w:bCs/>
          <w:sz w:val="24"/>
        </w:rPr>
        <w:t>papír – barva modrá,</w:t>
      </w:r>
    </w:p>
    <w:p w14:paraId="5C5F9FA6" w14:textId="56306858" w:rsidR="00A843DE" w:rsidRDefault="00A843DE" w:rsidP="00A843DE">
      <w:pPr>
        <w:numPr>
          <w:ilvl w:val="1"/>
          <w:numId w:val="6"/>
        </w:numPr>
        <w:spacing w:after="120" w:line="240" w:lineRule="auto"/>
        <w:jc w:val="both"/>
        <w:rPr>
          <w:bCs/>
          <w:sz w:val="24"/>
        </w:rPr>
      </w:pPr>
      <w:r>
        <w:rPr>
          <w:bCs/>
          <w:sz w:val="24"/>
        </w:rPr>
        <w:t>plasty včetně PET lahví – barva žlutá,</w:t>
      </w:r>
    </w:p>
    <w:p w14:paraId="54AB9F82" w14:textId="77777777" w:rsidR="00D63AA6" w:rsidRDefault="00A843DE" w:rsidP="00A843DE">
      <w:pPr>
        <w:numPr>
          <w:ilvl w:val="1"/>
          <w:numId w:val="6"/>
        </w:numPr>
        <w:spacing w:after="120" w:line="240" w:lineRule="auto"/>
        <w:jc w:val="both"/>
        <w:rPr>
          <w:bCs/>
          <w:sz w:val="24"/>
        </w:rPr>
      </w:pPr>
      <w:r>
        <w:rPr>
          <w:bCs/>
          <w:sz w:val="24"/>
        </w:rPr>
        <w:t>sklo bílé – barva bílá</w:t>
      </w:r>
    </w:p>
    <w:p w14:paraId="3751821C" w14:textId="57130F4C" w:rsidR="00A843DE" w:rsidRDefault="00A843DE" w:rsidP="00A843DE">
      <w:pPr>
        <w:numPr>
          <w:ilvl w:val="1"/>
          <w:numId w:val="6"/>
        </w:numPr>
        <w:spacing w:after="120" w:line="240" w:lineRule="auto"/>
        <w:jc w:val="both"/>
        <w:rPr>
          <w:bCs/>
          <w:sz w:val="24"/>
        </w:rPr>
      </w:pPr>
      <w:r>
        <w:rPr>
          <w:bCs/>
          <w:sz w:val="24"/>
        </w:rPr>
        <w:t>sklo barevné – barva zelená</w:t>
      </w:r>
    </w:p>
    <w:p w14:paraId="533C9C32" w14:textId="7CEC297C" w:rsidR="00A843DE" w:rsidRDefault="00A843DE" w:rsidP="00A843DE">
      <w:pPr>
        <w:numPr>
          <w:ilvl w:val="1"/>
          <w:numId w:val="6"/>
        </w:numPr>
        <w:spacing w:after="120" w:line="240" w:lineRule="auto"/>
        <w:jc w:val="both"/>
        <w:rPr>
          <w:bCs/>
          <w:sz w:val="24"/>
        </w:rPr>
      </w:pPr>
      <w:r>
        <w:rPr>
          <w:bCs/>
          <w:sz w:val="24"/>
        </w:rPr>
        <w:t>kovy – barva černá</w:t>
      </w:r>
    </w:p>
    <w:p w14:paraId="1F75451C" w14:textId="7AC9C5B6" w:rsidR="00A843DE" w:rsidRDefault="00A843DE" w:rsidP="00A843DE">
      <w:pPr>
        <w:numPr>
          <w:ilvl w:val="1"/>
          <w:numId w:val="6"/>
        </w:numPr>
        <w:spacing w:after="120" w:line="240" w:lineRule="auto"/>
        <w:jc w:val="both"/>
        <w:rPr>
          <w:bCs/>
          <w:sz w:val="24"/>
        </w:rPr>
      </w:pPr>
      <w:r>
        <w:rPr>
          <w:bCs/>
          <w:sz w:val="24"/>
        </w:rPr>
        <w:t>jedlé oleje a tuky – sběrné dvory společnosti ESKO-T s.r.o.</w:t>
      </w:r>
    </w:p>
    <w:p w14:paraId="30179A04" w14:textId="095B05F9" w:rsidR="00D63AA6" w:rsidRPr="009C316B" w:rsidRDefault="00D63AA6" w:rsidP="00521C92">
      <w:pPr>
        <w:numPr>
          <w:ilvl w:val="1"/>
          <w:numId w:val="6"/>
        </w:numPr>
        <w:spacing w:after="240" w:line="240" w:lineRule="auto"/>
        <w:ind w:left="1434" w:hanging="357"/>
        <w:jc w:val="both"/>
        <w:rPr>
          <w:bCs/>
          <w:sz w:val="24"/>
        </w:rPr>
      </w:pPr>
      <w:r>
        <w:rPr>
          <w:bCs/>
          <w:sz w:val="24"/>
        </w:rPr>
        <w:t>textil – sběrné dvory společnosti ESKO-T s.r.o.</w:t>
      </w:r>
    </w:p>
    <w:p w14:paraId="1B72F72E" w14:textId="64E992EA" w:rsidR="00A77445" w:rsidRDefault="00A77445" w:rsidP="009C316B">
      <w:pPr>
        <w:numPr>
          <w:ilvl w:val="0"/>
          <w:numId w:val="6"/>
        </w:numPr>
        <w:spacing w:after="120" w:line="240" w:lineRule="auto"/>
        <w:jc w:val="both"/>
        <w:rPr>
          <w:bCs/>
          <w:sz w:val="24"/>
        </w:rPr>
      </w:pPr>
      <w:r>
        <w:rPr>
          <w:bCs/>
          <w:sz w:val="24"/>
        </w:rPr>
        <w:t xml:space="preserve">Biologické odpady rostlinného původu velkého objemu se soustřeďují do velkoobjemového kontejneru </w:t>
      </w:r>
      <w:r w:rsidR="007A196F">
        <w:rPr>
          <w:bCs/>
          <w:sz w:val="24"/>
        </w:rPr>
        <w:t xml:space="preserve">s označením Bioodpad </w:t>
      </w:r>
      <w:r>
        <w:rPr>
          <w:bCs/>
          <w:sz w:val="24"/>
        </w:rPr>
        <w:t xml:space="preserve">na kraji obce pod č. p. 30. </w:t>
      </w:r>
    </w:p>
    <w:p w14:paraId="4A52ECF9" w14:textId="320B32F6" w:rsidR="00A77445" w:rsidRDefault="00A77445" w:rsidP="009C316B">
      <w:pPr>
        <w:numPr>
          <w:ilvl w:val="0"/>
          <w:numId w:val="6"/>
        </w:numPr>
        <w:spacing w:after="120" w:line="240" w:lineRule="auto"/>
        <w:jc w:val="both"/>
        <w:rPr>
          <w:bCs/>
          <w:sz w:val="24"/>
        </w:rPr>
      </w:pPr>
      <w:r>
        <w:rPr>
          <w:bCs/>
          <w:sz w:val="24"/>
        </w:rPr>
        <w:t>Železný odpad velkého objemu se soustřeďuj</w:t>
      </w:r>
      <w:r w:rsidR="00A67E9C">
        <w:rPr>
          <w:bCs/>
          <w:sz w:val="24"/>
        </w:rPr>
        <w:t>e</w:t>
      </w:r>
      <w:r>
        <w:rPr>
          <w:bCs/>
          <w:sz w:val="24"/>
        </w:rPr>
        <w:t xml:space="preserve"> na ohrazené sběrné místo</w:t>
      </w:r>
      <w:r w:rsidR="00521C92">
        <w:rPr>
          <w:bCs/>
          <w:sz w:val="24"/>
        </w:rPr>
        <w:t xml:space="preserve"> </w:t>
      </w:r>
      <w:r w:rsidR="007A196F">
        <w:rPr>
          <w:bCs/>
          <w:sz w:val="24"/>
        </w:rPr>
        <w:t>s </w:t>
      </w:r>
      <w:r w:rsidR="00521C92">
        <w:rPr>
          <w:bCs/>
          <w:sz w:val="24"/>
        </w:rPr>
        <w:t>označen</w:t>
      </w:r>
      <w:r w:rsidR="007A196F">
        <w:rPr>
          <w:bCs/>
          <w:sz w:val="24"/>
        </w:rPr>
        <w:t>ím </w:t>
      </w:r>
      <w:r w:rsidR="00521C92">
        <w:rPr>
          <w:bCs/>
          <w:sz w:val="24"/>
        </w:rPr>
        <w:t>Železný odpad</w:t>
      </w:r>
      <w:r>
        <w:rPr>
          <w:bCs/>
          <w:sz w:val="24"/>
        </w:rPr>
        <w:t xml:space="preserve"> na kraji obce pod č. p. 30.</w:t>
      </w:r>
    </w:p>
    <w:p w14:paraId="66514365" w14:textId="56793517" w:rsidR="00A67E9C" w:rsidRDefault="00A67E9C" w:rsidP="009C316B">
      <w:pPr>
        <w:numPr>
          <w:ilvl w:val="0"/>
          <w:numId w:val="6"/>
        </w:numPr>
        <w:spacing w:after="120" w:line="240" w:lineRule="auto"/>
        <w:jc w:val="both"/>
        <w:rPr>
          <w:bCs/>
          <w:sz w:val="24"/>
        </w:rPr>
      </w:pPr>
      <w:r>
        <w:rPr>
          <w:bCs/>
          <w:sz w:val="24"/>
        </w:rPr>
        <w:t>Textil, jedlé</w:t>
      </w:r>
      <w:r w:rsidR="000C0B05">
        <w:rPr>
          <w:bCs/>
          <w:sz w:val="24"/>
        </w:rPr>
        <w:t xml:space="preserve"> </w:t>
      </w:r>
      <w:r>
        <w:rPr>
          <w:bCs/>
          <w:sz w:val="24"/>
        </w:rPr>
        <w:t>oleje</w:t>
      </w:r>
      <w:r w:rsidR="000C0B05">
        <w:rPr>
          <w:bCs/>
          <w:sz w:val="24"/>
        </w:rPr>
        <w:t xml:space="preserve"> a tuky</w:t>
      </w:r>
      <w:r>
        <w:rPr>
          <w:bCs/>
          <w:sz w:val="24"/>
        </w:rPr>
        <w:t>, objem</w:t>
      </w:r>
      <w:r w:rsidR="009C316B">
        <w:rPr>
          <w:bCs/>
          <w:sz w:val="24"/>
        </w:rPr>
        <w:t>n</w:t>
      </w:r>
      <w:r>
        <w:rPr>
          <w:bCs/>
          <w:sz w:val="24"/>
        </w:rPr>
        <w:t>ý odpad</w:t>
      </w:r>
      <w:r w:rsidR="00521C92">
        <w:rPr>
          <w:bCs/>
          <w:sz w:val="24"/>
        </w:rPr>
        <w:t>, elektroodpad</w:t>
      </w:r>
      <w:r>
        <w:rPr>
          <w:bCs/>
          <w:sz w:val="24"/>
        </w:rPr>
        <w:t xml:space="preserve"> a další odpady, které se nesoustřeďují ve zvláštních sběrných nádobách se odevzdávají ve sběrných dvorech společnosti ESKO</w:t>
      </w:r>
      <w:r w:rsidR="00A843DE">
        <w:rPr>
          <w:bCs/>
          <w:sz w:val="24"/>
        </w:rPr>
        <w:t>-</w:t>
      </w:r>
      <w:r>
        <w:rPr>
          <w:bCs/>
          <w:sz w:val="24"/>
        </w:rPr>
        <w:t>T</w:t>
      </w:r>
      <w:r w:rsidR="00A843DE">
        <w:rPr>
          <w:bCs/>
          <w:sz w:val="24"/>
        </w:rPr>
        <w:t xml:space="preserve"> </w:t>
      </w:r>
      <w:r>
        <w:rPr>
          <w:bCs/>
          <w:sz w:val="24"/>
        </w:rPr>
        <w:t xml:space="preserve">s.r.o. v Třebíči. </w:t>
      </w:r>
    </w:p>
    <w:p w14:paraId="1E6A0A85" w14:textId="45C1C035" w:rsidR="00A67E9C" w:rsidRDefault="00A67E9C" w:rsidP="009C316B">
      <w:pPr>
        <w:numPr>
          <w:ilvl w:val="0"/>
          <w:numId w:val="6"/>
        </w:numPr>
        <w:spacing w:after="120" w:line="240" w:lineRule="auto"/>
        <w:jc w:val="both"/>
        <w:rPr>
          <w:bCs/>
          <w:sz w:val="24"/>
        </w:rPr>
      </w:pPr>
      <w:r>
        <w:rPr>
          <w:bCs/>
          <w:sz w:val="24"/>
        </w:rPr>
        <w:t>Do zvláštních sběrných nádob je zakázáno ukládat jiné složky komunálních odpadů</w:t>
      </w:r>
      <w:r w:rsidR="000C0B05">
        <w:rPr>
          <w:bCs/>
          <w:sz w:val="24"/>
        </w:rPr>
        <w:t>,</w:t>
      </w:r>
      <w:r>
        <w:rPr>
          <w:bCs/>
          <w:sz w:val="24"/>
        </w:rPr>
        <w:t xml:space="preserve"> než pro které jsou určeny.</w:t>
      </w:r>
    </w:p>
    <w:p w14:paraId="7AB6C44D" w14:textId="0D15B687" w:rsidR="00BB7B3C" w:rsidRPr="00521C92" w:rsidRDefault="00A67E9C" w:rsidP="009C316B">
      <w:pPr>
        <w:numPr>
          <w:ilvl w:val="0"/>
          <w:numId w:val="6"/>
        </w:numPr>
        <w:spacing w:after="120" w:line="240" w:lineRule="auto"/>
        <w:jc w:val="both"/>
        <w:rPr>
          <w:b/>
          <w:sz w:val="24"/>
        </w:rPr>
      </w:pPr>
      <w:r w:rsidRPr="00A67E9C">
        <w:rPr>
          <w:bCs/>
          <w:sz w:val="24"/>
        </w:rPr>
        <w:lastRenderedPageBreak/>
        <w:t>Zvláštní sběrné nádoby je povinnost plnit tak, aby je bylo možno uzavřít a odpad z nich při manipulaci nevypadával. Pokud to umožňuje povaha odpadu, je nutno objem odpadu před jeho odložením do sběrné nádoby minimalizovat.</w:t>
      </w:r>
    </w:p>
    <w:p w14:paraId="1298B1F7" w14:textId="77777777" w:rsidR="00521C92" w:rsidRDefault="00521C92" w:rsidP="00521C92">
      <w:pPr>
        <w:spacing w:after="120" w:line="240" w:lineRule="auto"/>
        <w:ind w:left="644"/>
        <w:jc w:val="both"/>
        <w:rPr>
          <w:bCs/>
          <w:sz w:val="24"/>
        </w:rPr>
      </w:pPr>
    </w:p>
    <w:p w14:paraId="1A5F84D4" w14:textId="5CF0E37C" w:rsidR="00521C92" w:rsidRPr="00BB7B3C" w:rsidRDefault="00521C92" w:rsidP="00521C92">
      <w:pPr>
        <w:spacing w:after="0" w:line="240" w:lineRule="auto"/>
        <w:jc w:val="center"/>
        <w:rPr>
          <w:b/>
          <w:sz w:val="24"/>
        </w:rPr>
      </w:pPr>
      <w:r w:rsidRPr="00BB7B3C">
        <w:rPr>
          <w:b/>
          <w:sz w:val="24"/>
        </w:rPr>
        <w:t xml:space="preserve">Článek </w:t>
      </w:r>
      <w:r>
        <w:rPr>
          <w:b/>
          <w:sz w:val="24"/>
        </w:rPr>
        <w:t>4</w:t>
      </w:r>
    </w:p>
    <w:p w14:paraId="5D777FE5" w14:textId="2872B9E6" w:rsidR="00521C92" w:rsidRDefault="00521C92" w:rsidP="00521C92">
      <w:pPr>
        <w:spacing w:after="120" w:line="240" w:lineRule="auto"/>
        <w:jc w:val="center"/>
        <w:rPr>
          <w:b/>
          <w:bCs/>
          <w:sz w:val="24"/>
        </w:rPr>
      </w:pPr>
      <w:r>
        <w:rPr>
          <w:b/>
          <w:bCs/>
          <w:sz w:val="24"/>
        </w:rPr>
        <w:t>S</w:t>
      </w:r>
      <w:r w:rsidR="005059AB">
        <w:rPr>
          <w:b/>
          <w:bCs/>
          <w:sz w:val="24"/>
        </w:rPr>
        <w:t>oustřeďování</w:t>
      </w:r>
      <w:r>
        <w:rPr>
          <w:b/>
          <w:bCs/>
          <w:sz w:val="24"/>
        </w:rPr>
        <w:t xml:space="preserve"> nebezpečných složek komunálního odpadu a objemného odpadu</w:t>
      </w:r>
    </w:p>
    <w:p w14:paraId="017F5EA1" w14:textId="3B4495F6" w:rsidR="00521C92" w:rsidRDefault="00521C92" w:rsidP="00521C92">
      <w:pPr>
        <w:numPr>
          <w:ilvl w:val="0"/>
          <w:numId w:val="8"/>
        </w:numPr>
        <w:spacing w:after="120" w:line="240" w:lineRule="auto"/>
        <w:jc w:val="both"/>
        <w:rPr>
          <w:sz w:val="24"/>
        </w:rPr>
      </w:pPr>
      <w:r w:rsidRPr="00521C92">
        <w:rPr>
          <w:sz w:val="24"/>
        </w:rPr>
        <w:t>Nebez</w:t>
      </w:r>
      <w:r>
        <w:rPr>
          <w:sz w:val="24"/>
        </w:rPr>
        <w:t>pečné složky komunálního odpadu lze odevzdávat ve sběrných dvorech společnosti ESKO-T s.r.o.</w:t>
      </w:r>
    </w:p>
    <w:p w14:paraId="4316C984" w14:textId="5E9787E4" w:rsidR="00521C92" w:rsidRDefault="00521C92" w:rsidP="00521C92">
      <w:pPr>
        <w:numPr>
          <w:ilvl w:val="0"/>
          <w:numId w:val="8"/>
        </w:numPr>
        <w:spacing w:after="120" w:line="240" w:lineRule="auto"/>
        <w:jc w:val="both"/>
        <w:rPr>
          <w:sz w:val="24"/>
        </w:rPr>
      </w:pPr>
      <w:r>
        <w:rPr>
          <w:sz w:val="24"/>
        </w:rPr>
        <w:t>Objemný odpad lze odevzdávat ve sběrných dvorech společnosti ESKO-T s.r.o.</w:t>
      </w:r>
    </w:p>
    <w:p w14:paraId="7A4E843F" w14:textId="77777777" w:rsidR="00521C92" w:rsidRDefault="00521C92" w:rsidP="005059AB">
      <w:pPr>
        <w:spacing w:after="120" w:line="240" w:lineRule="auto"/>
        <w:ind w:left="720"/>
        <w:jc w:val="both"/>
        <w:rPr>
          <w:sz w:val="24"/>
        </w:rPr>
      </w:pPr>
    </w:p>
    <w:p w14:paraId="28EC6E26" w14:textId="5CBBB8C9" w:rsidR="005059AB" w:rsidRPr="00BB7B3C" w:rsidRDefault="005059AB" w:rsidP="005059AB">
      <w:pPr>
        <w:spacing w:after="0" w:line="240" w:lineRule="auto"/>
        <w:jc w:val="center"/>
        <w:rPr>
          <w:b/>
          <w:sz w:val="24"/>
        </w:rPr>
      </w:pPr>
      <w:r w:rsidRPr="00BB7B3C">
        <w:rPr>
          <w:b/>
          <w:sz w:val="24"/>
        </w:rPr>
        <w:t xml:space="preserve">Článek </w:t>
      </w:r>
      <w:r>
        <w:rPr>
          <w:b/>
          <w:sz w:val="24"/>
        </w:rPr>
        <w:t>5</w:t>
      </w:r>
    </w:p>
    <w:p w14:paraId="114A6B78" w14:textId="026DB3E5" w:rsidR="005059AB" w:rsidRDefault="005059AB" w:rsidP="005059AB">
      <w:pPr>
        <w:spacing w:after="120" w:line="240" w:lineRule="auto"/>
        <w:jc w:val="center"/>
        <w:rPr>
          <w:b/>
          <w:bCs/>
          <w:sz w:val="24"/>
        </w:rPr>
      </w:pPr>
      <w:r>
        <w:rPr>
          <w:b/>
          <w:bCs/>
          <w:sz w:val="24"/>
        </w:rPr>
        <w:t>Soustřeďování směsného komunálního odpadu</w:t>
      </w:r>
    </w:p>
    <w:p w14:paraId="67E7B31F" w14:textId="20CFC280" w:rsidR="005059AB" w:rsidRPr="005059AB" w:rsidRDefault="005059AB" w:rsidP="005059AB">
      <w:pPr>
        <w:numPr>
          <w:ilvl w:val="0"/>
          <w:numId w:val="9"/>
        </w:numPr>
        <w:spacing w:after="120" w:line="240" w:lineRule="auto"/>
        <w:jc w:val="both"/>
        <w:rPr>
          <w:b/>
          <w:bCs/>
          <w:sz w:val="24"/>
        </w:rPr>
      </w:pPr>
      <w:r>
        <w:rPr>
          <w:sz w:val="24"/>
        </w:rPr>
        <w:t>Směsný komunální odpad se odkládá do sběrných nádob. Pro účely této vyhlášky se sběrnými nádobami rozumějí:</w:t>
      </w:r>
    </w:p>
    <w:p w14:paraId="1788CBD7" w14:textId="6DCD5AB0" w:rsidR="005059AB" w:rsidRPr="005059AB" w:rsidRDefault="005059AB" w:rsidP="005059AB">
      <w:pPr>
        <w:numPr>
          <w:ilvl w:val="1"/>
          <w:numId w:val="9"/>
        </w:numPr>
        <w:spacing w:after="120" w:line="240" w:lineRule="auto"/>
        <w:jc w:val="both"/>
        <w:rPr>
          <w:b/>
          <w:bCs/>
          <w:sz w:val="24"/>
        </w:rPr>
      </w:pPr>
      <w:r>
        <w:rPr>
          <w:sz w:val="24"/>
        </w:rPr>
        <w:t>typizované sběrné nádoby (popelnice) o objemu 110 nebo 120 litrů</w:t>
      </w:r>
    </w:p>
    <w:p w14:paraId="48EEB995" w14:textId="351A7EB1" w:rsidR="005059AB" w:rsidRPr="007A196F" w:rsidRDefault="005059AB" w:rsidP="005059AB">
      <w:pPr>
        <w:numPr>
          <w:ilvl w:val="1"/>
          <w:numId w:val="9"/>
        </w:numPr>
        <w:spacing w:after="120" w:line="240" w:lineRule="auto"/>
        <w:jc w:val="both"/>
        <w:rPr>
          <w:b/>
          <w:bCs/>
          <w:sz w:val="24"/>
        </w:rPr>
      </w:pPr>
      <w:r>
        <w:rPr>
          <w:sz w:val="24"/>
        </w:rPr>
        <w:t>typ</w:t>
      </w:r>
      <w:r w:rsidR="007A196F">
        <w:rPr>
          <w:sz w:val="24"/>
        </w:rPr>
        <w:t>izovaný sběrný kontejner o objemu 1100 litrů umístěný u místního hřbitova</w:t>
      </w:r>
    </w:p>
    <w:p w14:paraId="3F7F86B4" w14:textId="7AE51050" w:rsidR="00521C92" w:rsidRPr="007A196F" w:rsidRDefault="007A196F" w:rsidP="00B658EA">
      <w:pPr>
        <w:numPr>
          <w:ilvl w:val="0"/>
          <w:numId w:val="9"/>
        </w:numPr>
        <w:spacing w:after="120" w:line="240" w:lineRule="auto"/>
        <w:ind w:left="644"/>
        <w:jc w:val="both"/>
        <w:rPr>
          <w:b/>
          <w:sz w:val="24"/>
        </w:rPr>
      </w:pPr>
      <w:r w:rsidRPr="007A196F">
        <w:rPr>
          <w:sz w:val="24"/>
        </w:rPr>
        <w:t>Soustřeďování směsného komunálního odpadu podléhá požadavkům stanoveným v článku 3 odst. 7 a 8.</w:t>
      </w:r>
    </w:p>
    <w:p w14:paraId="14201A30" w14:textId="77777777" w:rsidR="00A17B17" w:rsidRDefault="00A17B17" w:rsidP="00A17B17">
      <w:pPr>
        <w:spacing w:after="120" w:line="240" w:lineRule="auto"/>
        <w:ind w:left="720"/>
        <w:jc w:val="both"/>
        <w:rPr>
          <w:sz w:val="24"/>
        </w:rPr>
      </w:pPr>
    </w:p>
    <w:p w14:paraId="646F795C" w14:textId="574085FF" w:rsidR="00A17B17" w:rsidRPr="00BB7B3C" w:rsidRDefault="00A17B17" w:rsidP="00A17B17">
      <w:pPr>
        <w:spacing w:after="0" w:line="240" w:lineRule="auto"/>
        <w:jc w:val="center"/>
        <w:rPr>
          <w:b/>
          <w:sz w:val="24"/>
        </w:rPr>
      </w:pPr>
      <w:r w:rsidRPr="00BB7B3C">
        <w:rPr>
          <w:b/>
          <w:sz w:val="24"/>
        </w:rPr>
        <w:t xml:space="preserve">Článek </w:t>
      </w:r>
      <w:r>
        <w:rPr>
          <w:b/>
          <w:sz w:val="24"/>
        </w:rPr>
        <w:t>6</w:t>
      </w:r>
    </w:p>
    <w:p w14:paraId="238F9B56" w14:textId="191AFDB7" w:rsidR="00A17B17" w:rsidRDefault="00A17B17" w:rsidP="00A17B17">
      <w:pPr>
        <w:spacing w:after="120" w:line="240" w:lineRule="auto"/>
        <w:jc w:val="center"/>
        <w:rPr>
          <w:b/>
          <w:bCs/>
          <w:sz w:val="24"/>
        </w:rPr>
      </w:pPr>
      <w:r>
        <w:rPr>
          <w:b/>
          <w:bCs/>
          <w:sz w:val="24"/>
        </w:rPr>
        <w:t>Závěrečná ustanovení</w:t>
      </w:r>
    </w:p>
    <w:p w14:paraId="3F5EA3F6" w14:textId="7614E043" w:rsidR="00A17B17" w:rsidRDefault="00A17B17" w:rsidP="00A06039">
      <w:pPr>
        <w:spacing w:after="120" w:line="240" w:lineRule="auto"/>
        <w:jc w:val="both"/>
        <w:rPr>
          <w:sz w:val="24"/>
        </w:rPr>
      </w:pPr>
      <w:r>
        <w:rPr>
          <w:sz w:val="24"/>
        </w:rPr>
        <w:t>Tato vyhláška nabývá účinnosti</w:t>
      </w:r>
      <w:r w:rsidR="00A06039">
        <w:rPr>
          <w:sz w:val="24"/>
        </w:rPr>
        <w:t xml:space="preserve"> počátkem</w:t>
      </w:r>
      <w:r w:rsidR="00E670C1">
        <w:rPr>
          <w:sz w:val="24"/>
        </w:rPr>
        <w:t xml:space="preserve"> patnáct</w:t>
      </w:r>
      <w:r w:rsidR="00A06039">
        <w:rPr>
          <w:sz w:val="24"/>
        </w:rPr>
        <w:t>ého</w:t>
      </w:r>
      <w:r w:rsidR="00E670C1">
        <w:rPr>
          <w:sz w:val="24"/>
        </w:rPr>
        <w:t xml:space="preserve"> dne </w:t>
      </w:r>
      <w:r w:rsidR="00A06039">
        <w:rPr>
          <w:sz w:val="24"/>
        </w:rPr>
        <w:t>následujícího po dni jejího vyhlášení</w:t>
      </w:r>
      <w:r w:rsidR="00E670C1">
        <w:rPr>
          <w:sz w:val="24"/>
        </w:rPr>
        <w:t>.</w:t>
      </w:r>
    </w:p>
    <w:p w14:paraId="2DC92B5D" w14:textId="77777777" w:rsidR="0018594E" w:rsidRDefault="0018594E" w:rsidP="00A06039">
      <w:pPr>
        <w:spacing w:after="120" w:line="240" w:lineRule="auto"/>
        <w:jc w:val="both"/>
        <w:rPr>
          <w:sz w:val="24"/>
        </w:rPr>
      </w:pPr>
    </w:p>
    <w:p w14:paraId="78F1E49B" w14:textId="77777777" w:rsidR="0018594E" w:rsidRDefault="0018594E" w:rsidP="00A06039">
      <w:pPr>
        <w:spacing w:after="120" w:line="240" w:lineRule="auto"/>
        <w:jc w:val="both"/>
        <w:rPr>
          <w:sz w:val="24"/>
        </w:rPr>
      </w:pPr>
    </w:p>
    <w:p w14:paraId="3E9A76D6" w14:textId="77777777" w:rsidR="00E670C1" w:rsidRDefault="00E670C1" w:rsidP="00E670C1">
      <w:pPr>
        <w:spacing w:after="120" w:line="240" w:lineRule="auto"/>
        <w:jc w:val="both"/>
        <w:rPr>
          <w:sz w:val="24"/>
        </w:rPr>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B13CC9" w:rsidRPr="00B13CC9" w14:paraId="668A21CF" w14:textId="77777777" w:rsidTr="001129E5">
        <w:trPr>
          <w:trHeight w:hRule="exact" w:val="1134"/>
        </w:trPr>
        <w:tc>
          <w:tcPr>
            <w:tcW w:w="4820" w:type="dxa"/>
            <w:tcMar>
              <w:top w:w="55" w:type="dxa"/>
              <w:left w:w="55" w:type="dxa"/>
              <w:bottom w:w="55" w:type="dxa"/>
              <w:right w:w="55" w:type="dxa"/>
            </w:tcMar>
            <w:vAlign w:val="bottom"/>
          </w:tcPr>
          <w:p w14:paraId="39393F3D" w14:textId="77777777" w:rsidR="00B13CC9" w:rsidRPr="00B13CC9" w:rsidRDefault="00B13CC9" w:rsidP="00B13CC9">
            <w:pPr>
              <w:spacing w:after="120" w:line="240" w:lineRule="auto"/>
              <w:jc w:val="center"/>
              <w:rPr>
                <w:sz w:val="24"/>
              </w:rPr>
            </w:pPr>
            <w:r w:rsidRPr="00B13CC9">
              <w:rPr>
                <w:sz w:val="24"/>
              </w:rPr>
              <w:t>Ing. Jiří Popek v. r.</w:t>
            </w:r>
            <w:r w:rsidRPr="00B13CC9">
              <w:rPr>
                <w:sz w:val="24"/>
              </w:rPr>
              <w:br/>
              <w:t xml:space="preserve"> starosta</w:t>
            </w:r>
          </w:p>
        </w:tc>
        <w:tc>
          <w:tcPr>
            <w:tcW w:w="4821" w:type="dxa"/>
            <w:tcMar>
              <w:top w:w="55" w:type="dxa"/>
              <w:left w:w="55" w:type="dxa"/>
              <w:bottom w:w="55" w:type="dxa"/>
              <w:right w:w="55" w:type="dxa"/>
            </w:tcMar>
            <w:vAlign w:val="bottom"/>
          </w:tcPr>
          <w:p w14:paraId="643BD5E8" w14:textId="77777777" w:rsidR="00B13CC9" w:rsidRPr="00B13CC9" w:rsidRDefault="00B13CC9" w:rsidP="00B13CC9">
            <w:pPr>
              <w:spacing w:after="120" w:line="240" w:lineRule="auto"/>
              <w:jc w:val="center"/>
              <w:rPr>
                <w:sz w:val="24"/>
              </w:rPr>
            </w:pPr>
          </w:p>
        </w:tc>
      </w:tr>
    </w:tbl>
    <w:p w14:paraId="484D6686" w14:textId="77777777" w:rsidR="00B13CC9" w:rsidRDefault="00B13CC9" w:rsidP="00B13CC9">
      <w:pPr>
        <w:spacing w:after="120" w:line="240" w:lineRule="auto"/>
        <w:jc w:val="center"/>
        <w:rPr>
          <w:sz w:val="24"/>
        </w:rPr>
      </w:pPr>
    </w:p>
    <w:p w14:paraId="58656621" w14:textId="77777777" w:rsidR="008712AC" w:rsidRDefault="008712AC" w:rsidP="008712AC">
      <w:pPr>
        <w:rPr>
          <w:sz w:val="24"/>
          <w:szCs w:val="24"/>
        </w:rPr>
      </w:pPr>
    </w:p>
    <w:sectPr w:rsidR="008712AC" w:rsidSect="00225997">
      <w:footerReference w:type="default" r:id="rId8"/>
      <w:footerReference w:type="first" r:id="rId9"/>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38B2D" w14:textId="77777777" w:rsidR="00D946E9" w:rsidRDefault="00D946E9">
      <w:pPr>
        <w:spacing w:after="0" w:line="240" w:lineRule="auto"/>
      </w:pPr>
      <w:r>
        <w:separator/>
      </w:r>
    </w:p>
  </w:endnote>
  <w:endnote w:type="continuationSeparator" w:id="0">
    <w:p w14:paraId="0EB98FC6" w14:textId="77777777" w:rsidR="00D946E9" w:rsidRDefault="00D94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DejaVu Sans">
    <w:altName w:val="Arial"/>
    <w:charset w:val="EE"/>
    <w:family w:val="swiss"/>
    <w:pitch w:val="variable"/>
    <w:sig w:usb0="00000000" w:usb1="D200FDFF" w:usb2="0A042029" w:usb3="00000000" w:csb0="8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A68B0" w14:textId="04269635" w:rsidR="0079488E" w:rsidRDefault="0079488E">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779EC1A3" w14:textId="2CF13D23" w:rsidR="00574094" w:rsidRDefault="00574094">
    <w:pPr>
      <w:pStyle w:val="Zpat"/>
      <w:ind w:left="4536" w:hanging="4536"/>
      <w:rPr>
        <w:lang w:eastAsia="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928A" w14:textId="20920CC1" w:rsidR="0079488E" w:rsidRDefault="0079488E">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63DD2738" w14:textId="1F9BFDF3" w:rsidR="00225997" w:rsidRDefault="002259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6634C" w14:textId="77777777" w:rsidR="00D946E9" w:rsidRDefault="00D946E9">
      <w:pPr>
        <w:spacing w:after="0" w:line="240" w:lineRule="auto"/>
      </w:pPr>
      <w:r>
        <w:separator/>
      </w:r>
    </w:p>
  </w:footnote>
  <w:footnote w:type="continuationSeparator" w:id="0">
    <w:p w14:paraId="1E49A3A1" w14:textId="77777777" w:rsidR="00D946E9" w:rsidRDefault="00D946E9">
      <w:pPr>
        <w:spacing w:after="0" w:line="240" w:lineRule="auto"/>
      </w:pPr>
      <w:r>
        <w:continuationSeparator/>
      </w:r>
    </w:p>
  </w:footnote>
  <w:footnote w:id="1">
    <w:p w14:paraId="5AE0B185" w14:textId="5B61D882" w:rsidR="00BB7B3C" w:rsidRDefault="00BB7B3C" w:rsidP="00BB7B3C">
      <w:pPr>
        <w:pStyle w:val="Textpoznpodarou"/>
        <w:spacing w:after="0"/>
      </w:pPr>
      <w:r>
        <w:rPr>
          <w:rStyle w:val="Znakapoznpodarou"/>
        </w:rPr>
        <w:footnoteRef/>
      </w:r>
      <w:r>
        <w:t xml:space="preserve"> </w:t>
      </w:r>
      <w:r w:rsidRPr="00BB7B3C">
        <w:t>§ 61 zákona o odpadech</w:t>
      </w:r>
    </w:p>
  </w:footnote>
  <w:footnote w:id="2">
    <w:p w14:paraId="4635A189" w14:textId="61B64639" w:rsidR="00BB7B3C" w:rsidRDefault="00BB7B3C">
      <w:pPr>
        <w:pStyle w:val="Textpoznpodarou"/>
      </w:pPr>
      <w:r>
        <w:rPr>
          <w:rStyle w:val="Znakapoznpodarou"/>
        </w:rPr>
        <w:footnoteRef/>
      </w:r>
      <w:r>
        <w:t xml:space="preserve"> </w:t>
      </w:r>
      <w:r w:rsidRPr="00BB7B3C">
        <w:t>§ 6</w:t>
      </w:r>
      <w:r>
        <w:t>0</w:t>
      </w:r>
      <w:r w:rsidRPr="00BB7B3C">
        <w:t xml:space="preserve">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6315"/>
    <w:multiLevelType w:val="hybridMultilevel"/>
    <w:tmpl w:val="89784CD2"/>
    <w:lvl w:ilvl="0" w:tplc="FC1450A6">
      <w:start w:val="1"/>
      <w:numFmt w:val="decimal"/>
      <w:lvlText w:val="%1)"/>
      <w:lvlJc w:val="left"/>
      <w:pPr>
        <w:ind w:left="720" w:hanging="360"/>
      </w:pPr>
      <w:rPr>
        <w:b w:val="0"/>
        <w:bCs w:val="0"/>
      </w:rPr>
    </w:lvl>
    <w:lvl w:ilvl="1" w:tplc="842C2704">
      <w:start w:val="1"/>
      <w:numFmt w:val="lowerLetter"/>
      <w:lvlText w:val="%2)"/>
      <w:lvlJc w:val="left"/>
      <w:pPr>
        <w:ind w:left="1440" w:hanging="360"/>
      </w:pPr>
      <w:rPr>
        <w:b w:val="0"/>
        <w:bCs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D3E5D"/>
    <w:multiLevelType w:val="hybridMultilevel"/>
    <w:tmpl w:val="8C4E31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707D50"/>
    <w:multiLevelType w:val="hybridMultilevel"/>
    <w:tmpl w:val="61C63EA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FF81ED8"/>
    <w:multiLevelType w:val="hybridMultilevel"/>
    <w:tmpl w:val="FD542CC2"/>
    <w:lvl w:ilvl="0" w:tplc="87125C1C">
      <w:start w:val="1"/>
      <w:numFmt w:val="decimal"/>
      <w:lvlText w:val="%1)"/>
      <w:lvlJc w:val="left"/>
      <w:pPr>
        <w:ind w:left="644" w:hanging="360"/>
      </w:pPr>
      <w:rPr>
        <w:b w:val="0"/>
        <w:bCs/>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DC017D"/>
    <w:multiLevelType w:val="hybridMultilevel"/>
    <w:tmpl w:val="79F055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1F77539"/>
    <w:multiLevelType w:val="hybridMultilevel"/>
    <w:tmpl w:val="9CDC357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7775D7E"/>
    <w:multiLevelType w:val="hybridMultilevel"/>
    <w:tmpl w:val="FB162AF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8D453D"/>
    <w:multiLevelType w:val="hybridMultilevel"/>
    <w:tmpl w:val="EB0A884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9F0778"/>
    <w:multiLevelType w:val="hybridMultilevel"/>
    <w:tmpl w:val="48B6C9C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5BA7CF7"/>
    <w:multiLevelType w:val="hybridMultilevel"/>
    <w:tmpl w:val="A51E20E8"/>
    <w:lvl w:ilvl="0" w:tplc="04050017">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0" w15:restartNumberingAfterBreak="0">
    <w:nsid w:val="5C405E56"/>
    <w:multiLevelType w:val="hybridMultilevel"/>
    <w:tmpl w:val="B130F9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002089">
    <w:abstractNumId w:val="7"/>
  </w:num>
  <w:num w:numId="2" w16cid:durableId="434986451">
    <w:abstractNumId w:val="5"/>
  </w:num>
  <w:num w:numId="3" w16cid:durableId="31268271">
    <w:abstractNumId w:val="1"/>
  </w:num>
  <w:num w:numId="4" w16cid:durableId="1130171709">
    <w:abstractNumId w:val="2"/>
  </w:num>
  <w:num w:numId="5" w16cid:durableId="757869526">
    <w:abstractNumId w:val="10"/>
  </w:num>
  <w:num w:numId="6" w16cid:durableId="696394117">
    <w:abstractNumId w:val="3"/>
  </w:num>
  <w:num w:numId="7" w16cid:durableId="1948459262">
    <w:abstractNumId w:val="9"/>
  </w:num>
  <w:num w:numId="8" w16cid:durableId="895897082">
    <w:abstractNumId w:val="4"/>
  </w:num>
  <w:num w:numId="9" w16cid:durableId="1972439276">
    <w:abstractNumId w:val="0"/>
  </w:num>
  <w:num w:numId="10" w16cid:durableId="1995060519">
    <w:abstractNumId w:val="8"/>
  </w:num>
  <w:num w:numId="11" w16cid:durableId="57554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DBA"/>
    <w:rsid w:val="00034601"/>
    <w:rsid w:val="00035F3C"/>
    <w:rsid w:val="00056E57"/>
    <w:rsid w:val="00081D14"/>
    <w:rsid w:val="00082F34"/>
    <w:rsid w:val="00083FE7"/>
    <w:rsid w:val="000C0B05"/>
    <w:rsid w:val="000D0210"/>
    <w:rsid w:val="001463C4"/>
    <w:rsid w:val="0018594E"/>
    <w:rsid w:val="001A7D7C"/>
    <w:rsid w:val="001C2A2C"/>
    <w:rsid w:val="001D6FB6"/>
    <w:rsid w:val="001E6898"/>
    <w:rsid w:val="001F75A6"/>
    <w:rsid w:val="00220302"/>
    <w:rsid w:val="0022354A"/>
    <w:rsid w:val="00225997"/>
    <w:rsid w:val="00276C48"/>
    <w:rsid w:val="00292628"/>
    <w:rsid w:val="002A7D7F"/>
    <w:rsid w:val="003626B4"/>
    <w:rsid w:val="003B5137"/>
    <w:rsid w:val="003B7E6C"/>
    <w:rsid w:val="003C34BF"/>
    <w:rsid w:val="003C3FAB"/>
    <w:rsid w:val="00437266"/>
    <w:rsid w:val="00466278"/>
    <w:rsid w:val="00482BDE"/>
    <w:rsid w:val="0048509E"/>
    <w:rsid w:val="004A1839"/>
    <w:rsid w:val="004C3AAD"/>
    <w:rsid w:val="004D5B9E"/>
    <w:rsid w:val="004E7D4A"/>
    <w:rsid w:val="004F3092"/>
    <w:rsid w:val="005059AB"/>
    <w:rsid w:val="00521C92"/>
    <w:rsid w:val="00574094"/>
    <w:rsid w:val="00576BA1"/>
    <w:rsid w:val="005C5822"/>
    <w:rsid w:val="005D3D8D"/>
    <w:rsid w:val="005F711B"/>
    <w:rsid w:val="00640534"/>
    <w:rsid w:val="006679EA"/>
    <w:rsid w:val="006B5FA7"/>
    <w:rsid w:val="006F3FA7"/>
    <w:rsid w:val="0075496A"/>
    <w:rsid w:val="0079488E"/>
    <w:rsid w:val="007A196F"/>
    <w:rsid w:val="007B436C"/>
    <w:rsid w:val="007D7DBA"/>
    <w:rsid w:val="007E7315"/>
    <w:rsid w:val="007F1900"/>
    <w:rsid w:val="00812382"/>
    <w:rsid w:val="0083077E"/>
    <w:rsid w:val="00855244"/>
    <w:rsid w:val="00870668"/>
    <w:rsid w:val="008712AC"/>
    <w:rsid w:val="00880754"/>
    <w:rsid w:val="00881CE7"/>
    <w:rsid w:val="008A2B9B"/>
    <w:rsid w:val="008D4211"/>
    <w:rsid w:val="00905255"/>
    <w:rsid w:val="0092040F"/>
    <w:rsid w:val="00953502"/>
    <w:rsid w:val="00971236"/>
    <w:rsid w:val="009805EB"/>
    <w:rsid w:val="0099421F"/>
    <w:rsid w:val="009C316B"/>
    <w:rsid w:val="00A06039"/>
    <w:rsid w:val="00A17B17"/>
    <w:rsid w:val="00A36C66"/>
    <w:rsid w:val="00A5712B"/>
    <w:rsid w:val="00A6605D"/>
    <w:rsid w:val="00A67E9C"/>
    <w:rsid w:val="00A70974"/>
    <w:rsid w:val="00A77445"/>
    <w:rsid w:val="00A81A4F"/>
    <w:rsid w:val="00A843DE"/>
    <w:rsid w:val="00A90CA8"/>
    <w:rsid w:val="00AF4948"/>
    <w:rsid w:val="00B049D3"/>
    <w:rsid w:val="00B13CC9"/>
    <w:rsid w:val="00B2209C"/>
    <w:rsid w:val="00B279A5"/>
    <w:rsid w:val="00B327C9"/>
    <w:rsid w:val="00B67A95"/>
    <w:rsid w:val="00B910F7"/>
    <w:rsid w:val="00BB7B3C"/>
    <w:rsid w:val="00C02746"/>
    <w:rsid w:val="00C10E14"/>
    <w:rsid w:val="00C35BBC"/>
    <w:rsid w:val="00C40236"/>
    <w:rsid w:val="00C507E9"/>
    <w:rsid w:val="00C83E04"/>
    <w:rsid w:val="00CA4A22"/>
    <w:rsid w:val="00D1089D"/>
    <w:rsid w:val="00D5008B"/>
    <w:rsid w:val="00D63AA6"/>
    <w:rsid w:val="00D80AA4"/>
    <w:rsid w:val="00D946E9"/>
    <w:rsid w:val="00DA0E5C"/>
    <w:rsid w:val="00DF2D3E"/>
    <w:rsid w:val="00E016CC"/>
    <w:rsid w:val="00E15AEA"/>
    <w:rsid w:val="00E670C1"/>
    <w:rsid w:val="00FA1130"/>
    <w:rsid w:val="00FF21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7A6AA6F"/>
  <w15:chartTrackingRefBased/>
  <w15:docId w15:val="{6CAF99BB-FF28-4532-956B-69D41396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200" w:line="276" w:lineRule="auto"/>
    </w:pPr>
    <w:rPr>
      <w:rFonts w:ascii="Calibri" w:eastAsia="Calibri" w:hAnsi="Calibri" w:cs="Calibri"/>
      <w:sz w:val="22"/>
      <w:szCs w:val="22"/>
      <w:lang w:eastAsia="zh-CN"/>
    </w:rPr>
  </w:style>
  <w:style w:type="paragraph" w:styleId="Nadpis3">
    <w:name w:val="heading 3"/>
    <w:basedOn w:val="Normln"/>
    <w:link w:val="Nadpis3Char"/>
    <w:uiPriority w:val="9"/>
    <w:qFormat/>
    <w:rsid w:val="00640534"/>
    <w:pPr>
      <w:suppressAutoHyphens w:val="0"/>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Standardnpsmoodstavce2">
    <w:name w:val="Standardní písmo odstavce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uiPriority w:val="99"/>
  </w:style>
  <w:style w:type="character" w:styleId="Hypertextovodkaz">
    <w:name w:val="Hyperlink"/>
    <w:rPr>
      <w:color w:val="0563C1"/>
      <w:u w:val="single"/>
    </w:rPr>
  </w:style>
  <w:style w:type="character" w:styleId="Nevyeenzmnka">
    <w:name w:val="Unresolved Mention"/>
    <w:rPr>
      <w:color w:val="605E5C"/>
      <w:shd w:val="clear" w:color="auto" w:fill="E1DFDD"/>
    </w:rPr>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customStyle="1" w:styleId="Titulek1">
    <w:name w:val="Titulek1"/>
    <w:basedOn w:val="Normln"/>
    <w:pPr>
      <w:suppressLineNumbers/>
      <w:spacing w:before="120" w:after="120"/>
    </w:pPr>
    <w:rPr>
      <w:rFonts w:cs="Arial"/>
      <w:i/>
      <w:iCs/>
      <w:sz w:val="24"/>
      <w:szCs w:val="24"/>
    </w:rPr>
  </w:style>
  <w:style w:type="paragraph" w:styleId="Zhlav">
    <w:name w:val="header"/>
    <w:basedOn w:val="Normln"/>
    <w:pPr>
      <w:tabs>
        <w:tab w:val="center" w:pos="4536"/>
        <w:tab w:val="right" w:pos="9072"/>
      </w:tabs>
      <w:spacing w:after="0" w:line="240" w:lineRule="auto"/>
    </w:pPr>
  </w:style>
  <w:style w:type="paragraph" w:styleId="Zpat">
    <w:name w:val="footer"/>
    <w:basedOn w:val="Normln"/>
    <w:uiPriority w:val="99"/>
    <w:pPr>
      <w:tabs>
        <w:tab w:val="center" w:pos="4536"/>
        <w:tab w:val="right" w:pos="9072"/>
      </w:tabs>
      <w:spacing w:after="0" w:line="240" w:lineRule="auto"/>
    </w:pPr>
  </w:style>
  <w:style w:type="paragraph" w:customStyle="1" w:styleId="Kontaktndaje">
    <w:name w:val="Kontaktní údaje"/>
    <w:basedOn w:val="Normln"/>
    <w:pPr>
      <w:suppressAutoHyphens w:val="0"/>
      <w:spacing w:after="80" w:line="240" w:lineRule="auto"/>
      <w:jc w:val="right"/>
    </w:pPr>
    <w:rPr>
      <w:rFonts w:ascii="Tahoma" w:eastAsia="Times New Roman" w:hAnsi="Tahoma" w:cs="Tahoma"/>
      <w:caps/>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table" w:styleId="Mkatabulky">
    <w:name w:val="Table Grid"/>
    <w:basedOn w:val="Normlntabulka"/>
    <w:uiPriority w:val="39"/>
    <w:rsid w:val="00CA4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uiPriority w:val="9"/>
    <w:rsid w:val="00640534"/>
    <w:rPr>
      <w:b/>
      <w:bCs/>
      <w:sz w:val="27"/>
      <w:szCs w:val="27"/>
    </w:rPr>
  </w:style>
  <w:style w:type="character" w:styleId="Siln">
    <w:name w:val="Strong"/>
    <w:uiPriority w:val="22"/>
    <w:qFormat/>
    <w:rsid w:val="00640534"/>
    <w:rPr>
      <w:b/>
      <w:bCs/>
    </w:rPr>
  </w:style>
  <w:style w:type="paragraph" w:customStyle="1" w:styleId="Odstavec">
    <w:name w:val="Odstavec"/>
    <w:basedOn w:val="Zkladntext"/>
    <w:rsid w:val="001D6FB6"/>
    <w:pPr>
      <w:widowControl w:val="0"/>
      <w:spacing w:after="115" w:line="240" w:lineRule="auto"/>
      <w:ind w:firstLine="480"/>
    </w:pPr>
    <w:rPr>
      <w:rFonts w:ascii="DejaVu Sans" w:eastAsia="DejaVu Sans" w:hAnsi="DejaVu Sans" w:cs="Times New Roman"/>
      <w:kern w:val="2"/>
      <w:sz w:val="24"/>
      <w:szCs w:val="24"/>
      <w:lang w:eastAsia="cs-CZ"/>
    </w:rPr>
  </w:style>
  <w:style w:type="paragraph" w:styleId="Zkladntextodsazen2">
    <w:name w:val="Body Text Indent 2"/>
    <w:basedOn w:val="Normln"/>
    <w:link w:val="Zkladntextodsazen2Char"/>
    <w:uiPriority w:val="99"/>
    <w:semiHidden/>
    <w:unhideWhenUsed/>
    <w:rsid w:val="0079488E"/>
    <w:pPr>
      <w:spacing w:after="120" w:line="480" w:lineRule="auto"/>
      <w:ind w:left="283"/>
    </w:pPr>
  </w:style>
  <w:style w:type="character" w:customStyle="1" w:styleId="Zkladntextodsazen2Char">
    <w:name w:val="Základní text odsazený 2 Char"/>
    <w:link w:val="Zkladntextodsazen2"/>
    <w:uiPriority w:val="99"/>
    <w:semiHidden/>
    <w:rsid w:val="0079488E"/>
    <w:rPr>
      <w:rFonts w:ascii="Calibri" w:eastAsia="Calibri" w:hAnsi="Calibri" w:cs="Calibri"/>
      <w:sz w:val="22"/>
      <w:szCs w:val="22"/>
      <w:lang w:eastAsia="zh-CN"/>
    </w:rPr>
  </w:style>
  <w:style w:type="paragraph" w:styleId="Textpoznpodarou">
    <w:name w:val="footnote text"/>
    <w:basedOn w:val="Normln"/>
    <w:link w:val="TextpoznpodarouChar"/>
    <w:uiPriority w:val="99"/>
    <w:semiHidden/>
    <w:unhideWhenUsed/>
    <w:rsid w:val="00BB7B3C"/>
    <w:rPr>
      <w:sz w:val="20"/>
      <w:szCs w:val="20"/>
    </w:rPr>
  </w:style>
  <w:style w:type="character" w:customStyle="1" w:styleId="TextpoznpodarouChar">
    <w:name w:val="Text pozn. pod čarou Char"/>
    <w:link w:val="Textpoznpodarou"/>
    <w:uiPriority w:val="99"/>
    <w:semiHidden/>
    <w:rsid w:val="00BB7B3C"/>
    <w:rPr>
      <w:rFonts w:ascii="Calibri" w:eastAsia="Calibri" w:hAnsi="Calibri" w:cs="Calibri"/>
      <w:lang w:eastAsia="zh-CN"/>
    </w:rPr>
  </w:style>
  <w:style w:type="character" w:styleId="Znakapoznpodarou">
    <w:name w:val="footnote reference"/>
    <w:uiPriority w:val="99"/>
    <w:semiHidden/>
    <w:unhideWhenUsed/>
    <w:rsid w:val="00BB7B3C"/>
    <w:rPr>
      <w:vertAlign w:val="superscript"/>
    </w:rPr>
  </w:style>
  <w:style w:type="paragraph" w:customStyle="1" w:styleId="Default">
    <w:name w:val="Default"/>
    <w:rsid w:val="00A0603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695621">
      <w:bodyDiv w:val="1"/>
      <w:marLeft w:val="0"/>
      <w:marRight w:val="0"/>
      <w:marTop w:val="0"/>
      <w:marBottom w:val="0"/>
      <w:divBdr>
        <w:top w:val="none" w:sz="0" w:space="0" w:color="auto"/>
        <w:left w:val="none" w:sz="0" w:space="0" w:color="auto"/>
        <w:bottom w:val="none" w:sz="0" w:space="0" w:color="auto"/>
        <w:right w:val="none" w:sz="0" w:space="0" w:color="auto"/>
      </w:divBdr>
    </w:div>
    <w:div w:id="208833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9BBC3-4A73-492B-9FD2-F8D38083C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647</Words>
  <Characters>3819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cp:lastModifiedBy>Starosta Horní Vilémovice</cp:lastModifiedBy>
  <cp:revision>3</cp:revision>
  <cp:lastPrinted>2025-12-17T17:35:00Z</cp:lastPrinted>
  <dcterms:created xsi:type="dcterms:W3CDTF">2025-12-17T17:35:00Z</dcterms:created>
  <dcterms:modified xsi:type="dcterms:W3CDTF">2025-12-17T17:35:00Z</dcterms:modified>
</cp:coreProperties>
</file>