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26527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MĚSTO ZNOJMO</w:t>
      </w:r>
    </w:p>
    <w:p w14:paraId="07FF51DA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Rada Města Znojma</w:t>
      </w:r>
    </w:p>
    <w:p w14:paraId="68F3D303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</w:p>
    <w:p w14:paraId="6CF30A7B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Nařízení města Znojma, kterým se vyhlašuje záměr zadat zpracování lesní hospodářské osnovy na období let 2026</w:t>
      </w:r>
      <w:r w:rsidRPr="00AB2A02">
        <w:rPr>
          <w:rFonts w:ascii="Aptos" w:eastAsia="Times New Roman" w:hAnsi="Aptos" w:cs="Aptos"/>
          <w:b/>
          <w:bCs/>
          <w:snapToGrid w:val="0"/>
          <w:sz w:val="24"/>
          <w:szCs w:val="24"/>
          <w:lang w:eastAsia="cs-CZ"/>
        </w:rPr>
        <w:t xml:space="preserve">–2035 </w:t>
      </w: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v zařizovacím obvodu „Znojmo“ (LHC 615801)</w:t>
      </w:r>
    </w:p>
    <w:p w14:paraId="42E5FC35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</w:p>
    <w:p w14:paraId="0C0949E9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</w:p>
    <w:p w14:paraId="5B651C27" w14:textId="63142FB1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Rada města Znojma</w:t>
      </w: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 xml:space="preserve"> 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se na své schůzi </w:t>
      </w:r>
      <w:r w:rsidR="008920CE"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dne </w:t>
      </w:r>
      <w:r w:rsidR="008920CE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30.4.2024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, usnesením č. </w:t>
      </w:r>
      <w:r w:rsidR="008920CE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7</w:t>
      </w:r>
      <w:r>
        <w:rPr>
          <w:rFonts w:ascii="Aptos" w:eastAsia="Times New Roman" w:hAnsi="Aptos" w:cs="Aptos"/>
          <w:snapToGrid w:val="0"/>
          <w:sz w:val="24"/>
          <w:szCs w:val="24"/>
          <w:lang w:eastAsia="cs-CZ"/>
        </w:rPr>
        <w:t>3/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2024, usnesla vydat na základě § 25 odst. 2 a § 48 odst. 2 písm. d) zákona č. 289/1995 Sb., o lesích a o změně 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br/>
        <w:t>a doplnění některých zákonů (lesní zákon), ve znění pozdějších předpisů (dále jen „lesní zákon“), a v souladu s § 11 odst. 1 a 2 a § 102 odst. 2 písm. d) zákona č. 128/</w:t>
      </w:r>
      <w:r w:rsidR="008920CE"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2000 Sb.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, 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br/>
        <w:t>o obcích (obecní zřízení), ve znění pozdějších předpisů, toto nařízení:</w:t>
      </w:r>
    </w:p>
    <w:p w14:paraId="50F5D9F6" w14:textId="77777777" w:rsidR="000E0BE7" w:rsidRPr="00AB2A02" w:rsidRDefault="000E0BE7" w:rsidP="000E0BE7">
      <w:pPr>
        <w:spacing w:after="0" w:line="240" w:lineRule="auto"/>
        <w:ind w:firstLine="708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02B78B63" w14:textId="77777777" w:rsidR="000E0BE7" w:rsidRPr="00AB2A02" w:rsidRDefault="000E0BE7" w:rsidP="000E0BE7">
      <w:pPr>
        <w:spacing w:after="0" w:line="240" w:lineRule="auto"/>
        <w:ind w:firstLine="708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566B0059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Čl. 1</w:t>
      </w:r>
    </w:p>
    <w:p w14:paraId="61F936B1" w14:textId="77777777" w:rsidR="000E0BE7" w:rsidRPr="00AB2A02" w:rsidRDefault="000E0BE7" w:rsidP="000E0BE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Město Znojmo vyhlašuje na základě § 25 odst. 2 lesního zákona záměr zadat zpracování lesní hospodářské osnovy (dále jen „osnova“).</w:t>
      </w:r>
    </w:p>
    <w:p w14:paraId="30B40569" w14:textId="77777777" w:rsidR="000E0BE7" w:rsidRPr="00AB2A02" w:rsidRDefault="000E0BE7" w:rsidP="000E0BE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Osnova bude zpracována v zařizovacím obvodu „Znojmo“ (LHC 615801), který je tvořen katastrálními územími následujících obcí:</w:t>
      </w:r>
    </w:p>
    <w:p w14:paraId="05405036" w14:textId="77777777" w:rsidR="000E0BE7" w:rsidRPr="00AB2A02" w:rsidRDefault="000E0BE7" w:rsidP="000E0BE7">
      <w:pPr>
        <w:spacing w:before="120" w:after="0" w:line="240" w:lineRule="auto"/>
        <w:ind w:left="357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Bantice, Bezkov Bítov, Bojanovice u Znojma, Borotice nad Jevišovkou, Božice, Břežany </w:t>
      </w:r>
      <w:r w:rsidRPr="00AB2A02">
        <w:rPr>
          <w:rFonts w:ascii="Aptos" w:eastAsia="Times New Roman" w:hAnsi="Aptos" w:cs="Aptos"/>
          <w:sz w:val="24"/>
          <w:szCs w:val="24"/>
          <w:lang w:eastAsia="cs-CZ"/>
        </w:rPr>
        <w:br/>
        <w:t xml:space="preserve">u Znojma, Citonice, Ctidružice, Čejkovice u Znojma, České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Křídlovice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Derflice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Dobšice </w:t>
      </w:r>
      <w:r w:rsidRPr="00AB2A02">
        <w:rPr>
          <w:rFonts w:ascii="Aptos" w:eastAsia="Times New Roman" w:hAnsi="Aptos" w:cs="Aptos"/>
          <w:sz w:val="24"/>
          <w:szCs w:val="24"/>
          <w:lang w:eastAsia="cs-CZ"/>
        </w:rPr>
        <w:br/>
        <w:t xml:space="preserve">u Znojma,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Domčice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Dyjákovice, Dyjákovičky, Dyje, Hluboké Mašůvky, Hodonice, Horní Břečkov, Horní Dunajovice, Hrádek u Znojma, Chvalatice, Chvalovice, Jaroslavice,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Jazovice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Korolupy,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Kravsko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Krhovice, Křepice, Křídlůvky, Kuchařovice, Kyjovice, Lančov, Lechovice, Lesná u Znojma, Lubnice, Lukov nad Dyjí, Mackovice, Mašovice u Znojma, Medlice, Městys Blížkovice,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Mešovice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Micmanice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Mikulovice u Znojma, Milíčovice, Morašice,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Mramotice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Němčičky nad Jevišovkou, Nový Petřín,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Oblekovice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Olbramkostel, Oleksovice,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Oleksovičky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Onšov na Moravě, Oslnovice, Plaveč, Plenkovice, Podhradí nad Dyjí, Podmyče, Práče, Pravice, Prosiměřice, Přímětice, Rudlice, </w:t>
      </w:r>
      <w:proofErr w:type="spellStart"/>
      <w:r w:rsidRPr="00AB2A02">
        <w:rPr>
          <w:rFonts w:ascii="Aptos" w:eastAsia="Times New Roman" w:hAnsi="Aptos" w:cs="Aptos"/>
          <w:sz w:val="24"/>
          <w:szCs w:val="24"/>
          <w:lang w:eastAsia="cs-CZ"/>
        </w:rPr>
        <w:t>Sedlešovice</w:t>
      </w:r>
      <w:proofErr w:type="spellEnd"/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, Slup, Stálky, Starý Petřín, Stošíkovice na Louce, Strachotice, Stupešice, Suchohrdly u Znojma, Šafov, Šanov nad Jevišovkou, Šatov, Štítary na Moravě, Šumná, Tasovice nad Dyjí, Těšetice </w:t>
      </w:r>
      <w:r w:rsidRPr="00AB2A02">
        <w:rPr>
          <w:rFonts w:ascii="Aptos" w:eastAsia="Times New Roman" w:hAnsi="Aptos" w:cs="Aptos"/>
          <w:sz w:val="24"/>
          <w:szCs w:val="24"/>
          <w:lang w:eastAsia="cs-CZ"/>
        </w:rPr>
        <w:br/>
        <w:t>u Znojma, Tvořihráz, Uherčice u Znojma, Únanov, Valtrovice, Velký Karlov, Ves Blížkovice. Vevčice, Višňové, Vítonice u Znojma, Vracovice u Horního Břečkova, Vranov nad Dyjí, Vranovská Ves, Vratěnín, Vrbovec, Výrovice, Vysočany u Znojma, Zálesí u Bítova, Zblovice, Znojmo-Louka, Znojmo-město, Želetice u Znojma, Žerotice a Žerůtky u Znojma.</w:t>
      </w:r>
    </w:p>
    <w:p w14:paraId="0F51CA89" w14:textId="77777777" w:rsidR="000E0BE7" w:rsidRPr="00AB2A02" w:rsidRDefault="000E0BE7" w:rsidP="000E0BE7">
      <w:pPr>
        <w:numPr>
          <w:ilvl w:val="0"/>
          <w:numId w:val="1"/>
        </w:num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Platnost osnovy pro území uvedené v článku 1 odst. 2 tohoto nařízení je stanovena na dobu 10 let, a to od 01.01.2026 do 31.12.2035.</w:t>
      </w:r>
    </w:p>
    <w:p w14:paraId="4FD3B5F9" w14:textId="77777777" w:rsidR="000E0BE7" w:rsidRPr="00AB2A02" w:rsidRDefault="000E0BE7" w:rsidP="000E0BE7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Lesní hospodářské osnovy budou zpracovány podle § 25 odst. 1 lesního zákona pro všechny lesy o výměře menší než 50 ha ve vlastnictví fyzických a právnických osob, pokud pro ně není zpracován plán podle § 24 odst. 3 lesního zákona.</w:t>
      </w:r>
    </w:p>
    <w:p w14:paraId="07F8E0E3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      </w:t>
      </w:r>
    </w:p>
    <w:p w14:paraId="71D80641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</w:p>
    <w:p w14:paraId="0774E8BF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Čl. 2</w:t>
      </w:r>
    </w:p>
    <w:p w14:paraId="2B11A80D" w14:textId="77777777" w:rsidR="000E0BE7" w:rsidRPr="00AB2A02" w:rsidRDefault="000E0BE7" w:rsidP="000E0BE7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Fyzické a právnické osoby vlastnící lesy o výměře menší než 50 ha v daném zařizovacím obvodu mají právo oznámit Městskému úřadu Znojmo, odboru životního prostředí 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br/>
        <w:t>v termínu stanoveném v čl. 2 odst. 4 tohoto nařízení své hospodářské záměry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br/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lastRenderedPageBreak/>
        <w:t xml:space="preserve">a požadavky na zpracování osnovy. Tyto požadavky na zpracování osnovy může na základě zmocnění vlastníka lesa podat i jeho odborný lesní hospodář. </w:t>
      </w:r>
    </w:p>
    <w:p w14:paraId="5F68CB32" w14:textId="77777777" w:rsidR="000E0BE7" w:rsidRPr="00AB2A02" w:rsidRDefault="000E0BE7" w:rsidP="000E0BE7">
      <w:pPr>
        <w:numPr>
          <w:ilvl w:val="0"/>
          <w:numId w:val="2"/>
        </w:num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V termínu stanoveném v čl. 2 odst. 4 tohoto nařízení oznámí vlastníci lesů do 50 ha výměry případně také skutečnost, že si pro své lesy zadali zpracování lesního hospodářského plánu.</w:t>
      </w:r>
    </w:p>
    <w:p w14:paraId="52481A26" w14:textId="77777777" w:rsidR="000E0BE7" w:rsidRPr="00AB2A02" w:rsidRDefault="000E0BE7" w:rsidP="000E0BE7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Připomínky a požadavky na zpracování osnovy mohou uplatnit také další právnické 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br/>
        <w:t>a fyzické osoby, jejichž práva, právem chráněné zájmy nebo povinnosti mohou být dotčeny a orgány státní správy v termínu stanoveném v čl. 2 odst. 4 tohoto nařízení.</w:t>
      </w: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 xml:space="preserve"> </w:t>
      </w:r>
    </w:p>
    <w:p w14:paraId="33200D9B" w14:textId="77777777" w:rsidR="000E0BE7" w:rsidRPr="00AB2A02" w:rsidRDefault="000E0BE7" w:rsidP="000E0BE7">
      <w:pPr>
        <w:numPr>
          <w:ilvl w:val="0"/>
          <w:numId w:val="2"/>
        </w:num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Termín pro uplatnění hospodářských záměrů a požadavků na zpracování osnovy se stanoví do </w:t>
      </w: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30.09.2024.</w:t>
      </w:r>
    </w:p>
    <w:p w14:paraId="6FB6B910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</w:p>
    <w:p w14:paraId="4FE69F23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</w:p>
    <w:p w14:paraId="5D73D329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Čl. 3</w:t>
      </w:r>
    </w:p>
    <w:p w14:paraId="3F78B6BE" w14:textId="77777777" w:rsidR="000E0BE7" w:rsidRPr="00AB2A02" w:rsidRDefault="000E0BE7" w:rsidP="000E0BE7">
      <w:p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 xml:space="preserve">Osnovu si může vlastník lesa, pro kterého byla zpracována, vyzvednout bezplatně </w:t>
      </w: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br/>
        <w:t>u Městského úřadu Znojmo, odboru životního prostředí v době od 01.07.2026 do 31.12.2035.</w:t>
      </w:r>
    </w:p>
    <w:p w14:paraId="1507719D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599E5EAA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2BA2764D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Čl. 4</w:t>
      </w:r>
    </w:p>
    <w:p w14:paraId="12A139F3" w14:textId="77777777" w:rsidR="000E0BE7" w:rsidRPr="00AB2A02" w:rsidRDefault="000E0BE7" w:rsidP="000E0BE7">
      <w:pPr>
        <w:pStyle w:val="Zkladntext2"/>
        <w:spacing w:before="120" w:after="0" w:line="240" w:lineRule="auto"/>
        <w:jc w:val="both"/>
        <w:rPr>
          <w:rFonts w:ascii="Aptos" w:hAnsi="Aptos" w:cs="Aptos"/>
          <w:sz w:val="24"/>
          <w:szCs w:val="24"/>
          <w:lang w:eastAsia="cs-CZ"/>
        </w:rPr>
      </w:pPr>
      <w:r w:rsidRPr="00AB2A02">
        <w:rPr>
          <w:rFonts w:ascii="Aptos" w:hAnsi="Aptos" w:cs="Aptos"/>
          <w:sz w:val="24"/>
          <w:szCs w:val="24"/>
        </w:rPr>
        <w:t xml:space="preserve">Dotčené obce v zařizovacím obvodu zveřejní na úředních deskách svých obecních úřadů oznámení o vyhlášení tohoto nařízení ve Sbírce právních předpisů územních samosprávných celků a některých správních úřadů po dobu alespoň 15 dnů. </w:t>
      </w:r>
    </w:p>
    <w:p w14:paraId="4E38C7D0" w14:textId="77777777" w:rsidR="000E0BE7" w:rsidRPr="00AB2A02" w:rsidRDefault="000E0BE7" w:rsidP="000E0BE7">
      <w:p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73565AAA" w14:textId="77777777" w:rsidR="000E0BE7" w:rsidRPr="00AB2A02" w:rsidRDefault="000E0BE7" w:rsidP="000E0BE7">
      <w:p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52E11F5F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Čl. 5</w:t>
      </w:r>
    </w:p>
    <w:p w14:paraId="217D63D8" w14:textId="77777777" w:rsidR="000E0BE7" w:rsidRPr="00AB2A02" w:rsidRDefault="000E0BE7" w:rsidP="000E0BE7">
      <w:p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Zrušuje se Nařízení města Znojma č. 2/2014, kterým se vyhlašuje záměr zadat zpracování lesních hospodářských osnov na období let 2016–2025 v zařizovacím obvodu „Znojmo“ (615801) ze dne 12.05.2014.</w:t>
      </w:r>
    </w:p>
    <w:p w14:paraId="626C1142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66DF0F3B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165826C0" w14:textId="77777777" w:rsidR="000E0BE7" w:rsidRPr="00AB2A02" w:rsidRDefault="000E0BE7" w:rsidP="000E0BE7">
      <w:pPr>
        <w:spacing w:after="0" w:line="240" w:lineRule="auto"/>
        <w:jc w:val="center"/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b/>
          <w:snapToGrid w:val="0"/>
          <w:sz w:val="24"/>
          <w:szCs w:val="24"/>
          <w:lang w:eastAsia="cs-CZ"/>
        </w:rPr>
        <w:t>Čl. 6</w:t>
      </w:r>
    </w:p>
    <w:p w14:paraId="4ED33ED5" w14:textId="77777777" w:rsidR="000E0BE7" w:rsidRPr="00AB2A02" w:rsidRDefault="000E0BE7" w:rsidP="000E0BE7">
      <w:pPr>
        <w:spacing w:before="120"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>Toto nařízení nabývá účinnosti počátkem patnáctého dne následujícího po dni jeho vyhlášení a platí do 30.09.2024.</w:t>
      </w:r>
    </w:p>
    <w:p w14:paraId="191E5C3B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3CC4F7A9" w14:textId="77777777" w:rsidR="000E0BE7" w:rsidRPr="00AB2A02" w:rsidRDefault="000E0BE7" w:rsidP="000E0BE7">
      <w:pPr>
        <w:spacing w:after="0" w:line="240" w:lineRule="auto"/>
        <w:jc w:val="both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6B5DD905" w14:textId="77777777" w:rsidR="000E0BE7" w:rsidRPr="00AB2A02" w:rsidRDefault="000E0BE7" w:rsidP="000E0B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0A5B91BA" w14:textId="77777777" w:rsidR="000E0BE7" w:rsidRPr="00AB2A02" w:rsidRDefault="000E0BE7" w:rsidP="000E0B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75F23840" w14:textId="77777777" w:rsidR="000E0BE7" w:rsidRPr="00AB2A02" w:rsidRDefault="000E0BE7" w:rsidP="000E0B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6864EB7B" w14:textId="77777777" w:rsidR="000E0BE7" w:rsidRPr="00AB2A02" w:rsidRDefault="000E0BE7" w:rsidP="000E0B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</w:p>
    <w:p w14:paraId="02AAADD2" w14:textId="77777777" w:rsidR="000E0BE7" w:rsidRPr="00AB2A02" w:rsidRDefault="000E0BE7" w:rsidP="000E0B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Aptos" w:eastAsia="Times New Roman" w:hAnsi="Aptos" w:cs="Aptos"/>
          <w:snapToGrid w:val="0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napToGrid w:val="0"/>
          <w:sz w:val="24"/>
          <w:szCs w:val="24"/>
          <w:lang w:eastAsia="cs-CZ"/>
        </w:rPr>
        <w:tab/>
        <w:t xml:space="preserve">        </w:t>
      </w:r>
    </w:p>
    <w:p w14:paraId="68DB067C" w14:textId="77777777" w:rsidR="000E0BE7" w:rsidRPr="00AB2A02" w:rsidRDefault="000E0BE7" w:rsidP="000E0BE7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  Mgr. Petra Svedíková Vávrová, MBA                                                Ing. Ivana Solařová</w:t>
      </w:r>
    </w:p>
    <w:p w14:paraId="3594C1E7" w14:textId="77777777" w:rsidR="000E0BE7" w:rsidRPr="00AB2A02" w:rsidRDefault="000E0BE7" w:rsidP="000E0BE7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cs-CZ"/>
        </w:rPr>
      </w:pPr>
      <w:r w:rsidRPr="00AB2A02">
        <w:rPr>
          <w:rFonts w:ascii="Aptos" w:eastAsia="Times New Roman" w:hAnsi="Aptos" w:cs="Aptos"/>
          <w:sz w:val="24"/>
          <w:szCs w:val="24"/>
          <w:lang w:eastAsia="cs-CZ"/>
        </w:rPr>
        <w:t xml:space="preserve">        místostarostka města Znojma                                                 starostka města Znojma</w:t>
      </w:r>
    </w:p>
    <w:p w14:paraId="26DF9941" w14:textId="77777777" w:rsidR="000E0BE7" w:rsidRDefault="000E0BE7" w:rsidP="000E0BE7">
      <w:pPr>
        <w:tabs>
          <w:tab w:val="center" w:pos="4653"/>
          <w:tab w:val="left" w:pos="6405"/>
        </w:tabs>
        <w:suppressAutoHyphens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14:paraId="6B072063" w14:textId="77777777" w:rsidR="000E0BE7" w:rsidRPr="00E924D3" w:rsidRDefault="000E0BE7" w:rsidP="000E0BE7">
      <w:pPr>
        <w:spacing w:line="240" w:lineRule="auto"/>
        <w:jc w:val="both"/>
        <w:rPr>
          <w:rFonts w:ascii="Calibri" w:hAnsi="Calibri" w:cs="Calibri"/>
          <w:strike/>
          <w:color w:val="FF0000"/>
          <w:sz w:val="18"/>
          <w:szCs w:val="18"/>
        </w:rPr>
      </w:pPr>
    </w:p>
    <w:p w14:paraId="16F8205A" w14:textId="77777777" w:rsidR="00F77F92" w:rsidRDefault="00F77F92"/>
    <w:sectPr w:rsidR="00F77F92" w:rsidSect="000E0BE7">
      <w:headerReference w:type="first" r:id="rId7"/>
      <w:pgSz w:w="11910" w:h="16840"/>
      <w:pgMar w:top="1134" w:right="1418" w:bottom="1134" w:left="1418" w:header="709" w:footer="77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A6A8B" w14:textId="77777777" w:rsidR="0092520A" w:rsidRDefault="0092520A" w:rsidP="000E0BE7">
      <w:pPr>
        <w:spacing w:after="0" w:line="240" w:lineRule="auto"/>
      </w:pPr>
      <w:r>
        <w:separator/>
      </w:r>
    </w:p>
  </w:endnote>
  <w:endnote w:type="continuationSeparator" w:id="0">
    <w:p w14:paraId="22BA6A4B" w14:textId="77777777" w:rsidR="0092520A" w:rsidRDefault="0092520A" w:rsidP="000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FFDA" w14:textId="77777777" w:rsidR="0092520A" w:rsidRDefault="0092520A" w:rsidP="000E0BE7">
      <w:pPr>
        <w:spacing w:after="0" w:line="240" w:lineRule="auto"/>
      </w:pPr>
      <w:r>
        <w:separator/>
      </w:r>
    </w:p>
  </w:footnote>
  <w:footnote w:type="continuationSeparator" w:id="0">
    <w:p w14:paraId="4B715DEF" w14:textId="77777777" w:rsidR="0092520A" w:rsidRDefault="0092520A" w:rsidP="000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C2918" w14:textId="4D558BAD" w:rsidR="00902D1A" w:rsidRDefault="00902D1A" w:rsidP="00EC74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33C3B"/>
    <w:multiLevelType w:val="singleLevel"/>
    <w:tmpl w:val="9D880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65FA7F34"/>
    <w:multiLevelType w:val="singleLevel"/>
    <w:tmpl w:val="4E30F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2674682">
    <w:abstractNumId w:val="1"/>
  </w:num>
  <w:num w:numId="2" w16cid:durableId="131892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E7"/>
    <w:rsid w:val="000E0BE7"/>
    <w:rsid w:val="001A1CBE"/>
    <w:rsid w:val="00225A49"/>
    <w:rsid w:val="00673689"/>
    <w:rsid w:val="0086670B"/>
    <w:rsid w:val="008920CE"/>
    <w:rsid w:val="008F205D"/>
    <w:rsid w:val="00902D1A"/>
    <w:rsid w:val="0092520A"/>
    <w:rsid w:val="00B54F93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AE9C"/>
  <w15:chartTrackingRefBased/>
  <w15:docId w15:val="{76E69E48-57E1-4709-B4B0-E760DA23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BE7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0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0B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0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0B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0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0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0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B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B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0BE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0BE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0B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0B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0B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0B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0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0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0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0B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0B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0BE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0B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0BE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0BE7"/>
    <w:rPr>
      <w:b/>
      <w:bCs/>
      <w:smallCaps/>
      <w:color w:val="2E74B5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0BE7"/>
    <w:pPr>
      <w:spacing w:after="120" w:line="480" w:lineRule="auto"/>
    </w:pPr>
    <w:rPr>
      <w:rFonts w:ascii="Calibri" w:hAnsi="Calibri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BE7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E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BE7"/>
    <w:rPr>
      <w:rFonts w:ascii="Times New Roman" w:eastAsia="Calibri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0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BE7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655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Veleba Boris</dc:creator>
  <cp:keywords/>
  <dc:description/>
  <cp:lastModifiedBy>Vajsová Mária</cp:lastModifiedBy>
  <cp:revision>3</cp:revision>
  <dcterms:created xsi:type="dcterms:W3CDTF">2024-05-13T11:29:00Z</dcterms:created>
  <dcterms:modified xsi:type="dcterms:W3CDTF">2024-05-13T11:37:00Z</dcterms:modified>
</cp:coreProperties>
</file>