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3039"/>
        <w:tblW w:w="9889" w:type="dxa"/>
        <w:tblLook w:val="04A0" w:firstRow="1" w:lastRow="0" w:firstColumn="1" w:lastColumn="0" w:noHBand="0" w:noVBand="1"/>
      </w:tblPr>
      <w:tblGrid>
        <w:gridCol w:w="1750"/>
        <w:gridCol w:w="3752"/>
        <w:gridCol w:w="4387"/>
      </w:tblGrid>
      <w:tr w:rsidR="00144F96" w:rsidRPr="00D93B67" w14:paraId="6ADC156E" w14:textId="77777777" w:rsidTr="00E26458">
        <w:tc>
          <w:tcPr>
            <w:tcW w:w="1750" w:type="dxa"/>
            <w:vAlign w:val="center"/>
          </w:tcPr>
          <w:p w14:paraId="49B607EF" w14:textId="77777777"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Váš dopis zn.:</w:t>
            </w:r>
          </w:p>
        </w:tc>
        <w:tc>
          <w:tcPr>
            <w:tcW w:w="3752" w:type="dxa"/>
            <w:vAlign w:val="center"/>
          </w:tcPr>
          <w:p w14:paraId="675B4432" w14:textId="78585FB5" w:rsidR="00736E66" w:rsidRPr="00144F96" w:rsidRDefault="00736E66" w:rsidP="00166892">
            <w:pPr>
              <w:spacing w:after="0" w:line="240" w:lineRule="auto"/>
            </w:pPr>
          </w:p>
        </w:tc>
        <w:tc>
          <w:tcPr>
            <w:tcW w:w="4387" w:type="dxa"/>
            <w:vMerge w:val="restart"/>
          </w:tcPr>
          <w:p w14:paraId="33543357" w14:textId="05B2E5C7" w:rsidR="00F11F7C" w:rsidRDefault="00EF40AF" w:rsidP="00144F96">
            <w:pPr>
              <w:spacing w:after="0" w:line="240" w:lineRule="exact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Obec Hol</w:t>
            </w:r>
            <w:r w:rsidR="00DC021A">
              <w:rPr>
                <w:rFonts w:eastAsia="Times New Roman" w:cs="Arial"/>
                <w:lang w:eastAsia="cs-CZ"/>
              </w:rPr>
              <w:t>ub</w:t>
            </w:r>
            <w:r w:rsidR="00196D7A">
              <w:rPr>
                <w:rFonts w:eastAsia="Times New Roman" w:cs="Arial"/>
                <w:lang w:eastAsia="cs-CZ"/>
              </w:rPr>
              <w:t>ic</w:t>
            </w:r>
            <w:r w:rsidR="00944F55">
              <w:rPr>
                <w:rFonts w:eastAsia="Times New Roman" w:cs="Arial"/>
                <w:lang w:eastAsia="cs-CZ"/>
              </w:rPr>
              <w:t>e</w:t>
            </w:r>
          </w:p>
          <w:p w14:paraId="40427024" w14:textId="4467BD0E" w:rsidR="00F11F7C" w:rsidRDefault="00196D7A" w:rsidP="00144F96">
            <w:pPr>
              <w:spacing w:after="0" w:line="240" w:lineRule="exact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Ho</w:t>
            </w:r>
            <w:r w:rsidR="00DC021A">
              <w:rPr>
                <w:rFonts w:eastAsia="Times New Roman" w:cs="Arial"/>
                <w:lang w:eastAsia="cs-CZ"/>
              </w:rPr>
              <w:t>lubice 61</w:t>
            </w:r>
          </w:p>
          <w:p w14:paraId="4FD4DF42" w14:textId="2334EF12" w:rsidR="00F11F7C" w:rsidRDefault="00944F55" w:rsidP="00144F96">
            <w:pPr>
              <w:spacing w:after="0" w:line="240" w:lineRule="exact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6</w:t>
            </w:r>
            <w:r w:rsidR="00DC021A">
              <w:rPr>
                <w:rFonts w:eastAsia="Times New Roman" w:cs="Arial"/>
                <w:lang w:eastAsia="cs-CZ"/>
              </w:rPr>
              <w:t>83 51 HOLUB</w:t>
            </w:r>
            <w:r w:rsidR="00196D7A">
              <w:rPr>
                <w:rFonts w:eastAsia="Times New Roman" w:cs="Arial"/>
                <w:lang w:eastAsia="cs-CZ"/>
              </w:rPr>
              <w:t>IC</w:t>
            </w:r>
            <w:r>
              <w:rPr>
                <w:rFonts w:eastAsia="Times New Roman" w:cs="Arial"/>
                <w:lang w:eastAsia="cs-CZ"/>
              </w:rPr>
              <w:t>E</w:t>
            </w:r>
          </w:p>
          <w:p w14:paraId="3485BA13" w14:textId="5C841C7A" w:rsidR="00F11F7C" w:rsidRDefault="002164EE" w:rsidP="002164EE">
            <w:pPr>
              <w:spacing w:after="0" w:line="240" w:lineRule="exact"/>
              <w:rPr>
                <w:rFonts w:eastAsia="Times New Roman" w:cs="Arial"/>
                <w:lang w:eastAsia="cs-CZ"/>
              </w:rPr>
            </w:pPr>
            <w:r w:rsidRPr="00051A30">
              <w:rPr>
                <w:rFonts w:eastAsia="Times New Roman" w:cs="Arial"/>
                <w:lang w:eastAsia="cs-CZ"/>
              </w:rPr>
              <w:t>IČ</w:t>
            </w:r>
            <w:r w:rsidR="00E15BA7" w:rsidRPr="00051A30">
              <w:rPr>
                <w:rFonts w:eastAsia="Times New Roman" w:cs="Arial"/>
                <w:lang w:eastAsia="cs-CZ"/>
              </w:rPr>
              <w:t>O</w:t>
            </w:r>
            <w:r w:rsidR="007F0021">
              <w:rPr>
                <w:rFonts w:eastAsia="Times New Roman" w:cs="Arial"/>
                <w:lang w:eastAsia="cs-CZ"/>
              </w:rPr>
              <w:t>:</w:t>
            </w:r>
            <w:r w:rsidR="00E15BA7" w:rsidRPr="00051A30">
              <w:rPr>
                <w:rFonts w:eastAsia="Times New Roman" w:cs="Arial"/>
                <w:lang w:eastAsia="cs-CZ"/>
              </w:rPr>
              <w:t xml:space="preserve"> </w:t>
            </w:r>
            <w:r w:rsidR="005B7979">
              <w:rPr>
                <w:rFonts w:eastAsia="Times New Roman" w:cs="Arial"/>
                <w:lang w:eastAsia="cs-CZ"/>
              </w:rPr>
              <w:t>00</w:t>
            </w:r>
            <w:r w:rsidR="004943AD">
              <w:rPr>
                <w:rFonts w:eastAsia="Times New Roman" w:cs="Arial"/>
                <w:lang w:eastAsia="cs-CZ"/>
              </w:rPr>
              <w:t>542423</w:t>
            </w:r>
          </w:p>
          <w:p w14:paraId="09402F3E" w14:textId="0FA712C6" w:rsidR="00C271C7" w:rsidRPr="00051A30" w:rsidRDefault="00C271C7" w:rsidP="002164EE">
            <w:pPr>
              <w:spacing w:after="0" w:line="240" w:lineRule="exact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 xml:space="preserve">ID DS: </w:t>
            </w:r>
            <w:r w:rsidR="004943AD">
              <w:rPr>
                <w:rFonts w:eastAsia="Times New Roman" w:cs="Arial"/>
                <w:lang w:eastAsia="cs-CZ"/>
              </w:rPr>
              <w:t>3qubk5y</w:t>
            </w:r>
          </w:p>
          <w:p w14:paraId="7E6103CF" w14:textId="77777777"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14:paraId="6245BCC4" w14:textId="77777777" w:rsidTr="00E26458">
        <w:tc>
          <w:tcPr>
            <w:tcW w:w="1750" w:type="dxa"/>
            <w:vAlign w:val="center"/>
          </w:tcPr>
          <w:p w14:paraId="182F1945" w14:textId="77777777"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Ze dne:</w:t>
            </w:r>
          </w:p>
        </w:tc>
        <w:tc>
          <w:tcPr>
            <w:tcW w:w="3752" w:type="dxa"/>
            <w:vAlign w:val="center"/>
          </w:tcPr>
          <w:p w14:paraId="61E92CBA" w14:textId="761DD6BA" w:rsidR="00736E66" w:rsidRPr="00144F96" w:rsidRDefault="00736E66" w:rsidP="00FC2DA6">
            <w:pPr>
              <w:spacing w:after="0" w:line="240" w:lineRule="auto"/>
            </w:pPr>
          </w:p>
        </w:tc>
        <w:tc>
          <w:tcPr>
            <w:tcW w:w="4387" w:type="dxa"/>
            <w:vMerge/>
            <w:vAlign w:val="center"/>
          </w:tcPr>
          <w:p w14:paraId="4965D268" w14:textId="77777777"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14:paraId="6AB32800" w14:textId="77777777" w:rsidTr="00E26458">
        <w:tc>
          <w:tcPr>
            <w:tcW w:w="1750" w:type="dxa"/>
            <w:vAlign w:val="center"/>
          </w:tcPr>
          <w:p w14:paraId="28679501" w14:textId="77777777"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Č. j.:</w:t>
            </w:r>
          </w:p>
        </w:tc>
        <w:tc>
          <w:tcPr>
            <w:tcW w:w="3752" w:type="dxa"/>
            <w:vAlign w:val="center"/>
          </w:tcPr>
          <w:p w14:paraId="28CC0D20" w14:textId="538164AA" w:rsidR="00144F96" w:rsidRPr="00144F96" w:rsidRDefault="00144F96" w:rsidP="00FC2DA6">
            <w:pPr>
              <w:spacing w:after="0" w:line="240" w:lineRule="auto"/>
            </w:pPr>
            <w:r w:rsidRPr="00144F96">
              <w:t>JMK</w:t>
            </w:r>
            <w:r w:rsidR="00F500BF">
              <w:t xml:space="preserve"> 30670/</w:t>
            </w:r>
            <w:r w:rsidRPr="00144F96">
              <w:t>20</w:t>
            </w:r>
            <w:r w:rsidR="00C97C3A">
              <w:t>2</w:t>
            </w:r>
            <w:r w:rsidR="00EF40AF">
              <w:t>3</w:t>
            </w:r>
          </w:p>
        </w:tc>
        <w:tc>
          <w:tcPr>
            <w:tcW w:w="4387" w:type="dxa"/>
            <w:vMerge/>
            <w:vAlign w:val="center"/>
          </w:tcPr>
          <w:p w14:paraId="37203C39" w14:textId="77777777"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14:paraId="590A3CCC" w14:textId="77777777" w:rsidTr="00E26458">
        <w:tc>
          <w:tcPr>
            <w:tcW w:w="1750" w:type="dxa"/>
            <w:vAlign w:val="center"/>
          </w:tcPr>
          <w:p w14:paraId="76128B45" w14:textId="77777777"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Sp. zn.:</w:t>
            </w:r>
          </w:p>
        </w:tc>
        <w:tc>
          <w:tcPr>
            <w:tcW w:w="3752" w:type="dxa"/>
            <w:vAlign w:val="center"/>
          </w:tcPr>
          <w:p w14:paraId="4075DF43" w14:textId="4C60E558" w:rsidR="00144F96" w:rsidRPr="00144F96" w:rsidRDefault="00144F96" w:rsidP="00FC2DA6">
            <w:pPr>
              <w:spacing w:after="0" w:line="240" w:lineRule="auto"/>
            </w:pPr>
            <w:r w:rsidRPr="00144F96">
              <w:t xml:space="preserve">S-JMK </w:t>
            </w:r>
            <w:r w:rsidR="00196D7A">
              <w:t>1</w:t>
            </w:r>
            <w:r w:rsidR="00DC021A">
              <w:t>66517</w:t>
            </w:r>
            <w:r w:rsidR="00196D7A">
              <w:t>/2022</w:t>
            </w:r>
            <w:r w:rsidR="00D7339D">
              <w:t xml:space="preserve"> OKP</w:t>
            </w:r>
          </w:p>
        </w:tc>
        <w:tc>
          <w:tcPr>
            <w:tcW w:w="4387" w:type="dxa"/>
            <w:vMerge/>
            <w:vAlign w:val="center"/>
          </w:tcPr>
          <w:p w14:paraId="0502D74C" w14:textId="77777777"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14:paraId="7D665A6C" w14:textId="77777777" w:rsidTr="00E26458">
        <w:tc>
          <w:tcPr>
            <w:tcW w:w="1750" w:type="dxa"/>
            <w:vAlign w:val="center"/>
          </w:tcPr>
          <w:p w14:paraId="78CB552B" w14:textId="77777777"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Vyřizuje:</w:t>
            </w:r>
          </w:p>
        </w:tc>
        <w:tc>
          <w:tcPr>
            <w:tcW w:w="3752" w:type="dxa"/>
            <w:vAlign w:val="center"/>
          </w:tcPr>
          <w:p w14:paraId="2B8F4483" w14:textId="77777777" w:rsidR="00144F96" w:rsidRPr="00144F96" w:rsidRDefault="007D2B05" w:rsidP="007D2B05">
            <w:pPr>
              <w:spacing w:after="0" w:line="240" w:lineRule="auto"/>
            </w:pPr>
            <w:r>
              <w:rPr>
                <w:rFonts w:cs="Arial"/>
              </w:rPr>
              <w:t xml:space="preserve">Mgr. </w:t>
            </w:r>
            <w:r w:rsidR="00C97C3A">
              <w:rPr>
                <w:rFonts w:cs="Arial"/>
              </w:rPr>
              <w:t>Zimk</w:t>
            </w:r>
            <w:r>
              <w:rPr>
                <w:rFonts w:cs="Arial"/>
              </w:rPr>
              <w:t>ová</w:t>
            </w:r>
          </w:p>
        </w:tc>
        <w:tc>
          <w:tcPr>
            <w:tcW w:w="4387" w:type="dxa"/>
            <w:vMerge/>
            <w:vAlign w:val="center"/>
          </w:tcPr>
          <w:p w14:paraId="32443307" w14:textId="77777777"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14:paraId="25879B3E" w14:textId="77777777" w:rsidTr="00E26458">
        <w:tc>
          <w:tcPr>
            <w:tcW w:w="1750" w:type="dxa"/>
            <w:vAlign w:val="center"/>
          </w:tcPr>
          <w:p w14:paraId="5AA7DAFE" w14:textId="77777777" w:rsidR="00144F96" w:rsidRPr="00B46622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B46622">
              <w:rPr>
                <w:sz w:val="18"/>
                <w:szCs w:val="18"/>
              </w:rPr>
              <w:t>Telefon:</w:t>
            </w:r>
          </w:p>
        </w:tc>
        <w:tc>
          <w:tcPr>
            <w:tcW w:w="3752" w:type="dxa"/>
            <w:vAlign w:val="center"/>
          </w:tcPr>
          <w:p w14:paraId="7489228E" w14:textId="77777777" w:rsidR="00144F96" w:rsidRPr="00B46622" w:rsidRDefault="005634A6" w:rsidP="005634A6">
            <w:pPr>
              <w:spacing w:after="0" w:line="240" w:lineRule="auto"/>
            </w:pPr>
            <w:r w:rsidRPr="00B46622">
              <w:t xml:space="preserve">541 651 </w:t>
            </w:r>
            <w:r w:rsidR="00C97C3A">
              <w:t>213</w:t>
            </w:r>
          </w:p>
        </w:tc>
        <w:tc>
          <w:tcPr>
            <w:tcW w:w="4387" w:type="dxa"/>
            <w:vMerge/>
            <w:vAlign w:val="center"/>
          </w:tcPr>
          <w:p w14:paraId="4BFF8B16" w14:textId="77777777"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14:paraId="0417E45D" w14:textId="77777777" w:rsidTr="00E26458">
        <w:tc>
          <w:tcPr>
            <w:tcW w:w="1750" w:type="dxa"/>
            <w:vAlign w:val="center"/>
          </w:tcPr>
          <w:p w14:paraId="5E5B619A" w14:textId="77777777" w:rsidR="00144F96" w:rsidRPr="00B46622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B46622">
              <w:rPr>
                <w:sz w:val="18"/>
                <w:szCs w:val="18"/>
              </w:rPr>
              <w:t>Počet listů:</w:t>
            </w:r>
          </w:p>
        </w:tc>
        <w:tc>
          <w:tcPr>
            <w:tcW w:w="3752" w:type="dxa"/>
            <w:vAlign w:val="center"/>
          </w:tcPr>
          <w:p w14:paraId="72BC471B" w14:textId="4933235B" w:rsidR="00144F96" w:rsidRPr="00B46622" w:rsidRDefault="00B47A72" w:rsidP="00C21948">
            <w:pPr>
              <w:spacing w:after="0" w:line="240" w:lineRule="auto"/>
            </w:pPr>
            <w:r>
              <w:t>2</w:t>
            </w:r>
          </w:p>
        </w:tc>
        <w:tc>
          <w:tcPr>
            <w:tcW w:w="4387" w:type="dxa"/>
            <w:vMerge/>
            <w:vAlign w:val="center"/>
          </w:tcPr>
          <w:p w14:paraId="3C00C1CF" w14:textId="77777777" w:rsidR="00144F96" w:rsidRPr="00406543" w:rsidRDefault="00144F96" w:rsidP="00144F96">
            <w:pPr>
              <w:spacing w:after="0" w:line="240" w:lineRule="auto"/>
            </w:pPr>
          </w:p>
        </w:tc>
      </w:tr>
      <w:tr w:rsidR="00144F96" w:rsidRPr="00D93B67" w14:paraId="66074042" w14:textId="77777777" w:rsidTr="00E26458">
        <w:tc>
          <w:tcPr>
            <w:tcW w:w="1750" w:type="dxa"/>
            <w:vAlign w:val="center"/>
          </w:tcPr>
          <w:p w14:paraId="23A0862C" w14:textId="77777777"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Počet příloh/listů:</w:t>
            </w:r>
          </w:p>
        </w:tc>
        <w:tc>
          <w:tcPr>
            <w:tcW w:w="3752" w:type="dxa"/>
            <w:vAlign w:val="center"/>
          </w:tcPr>
          <w:p w14:paraId="60481D46" w14:textId="77777777" w:rsidR="00144F96" w:rsidRPr="00144F96" w:rsidRDefault="00C97C3A" w:rsidP="007D2B05">
            <w:pPr>
              <w:spacing w:after="0" w:line="240" w:lineRule="auto"/>
            </w:pPr>
            <w:r>
              <w:t>0/0</w:t>
            </w:r>
          </w:p>
        </w:tc>
        <w:tc>
          <w:tcPr>
            <w:tcW w:w="4387" w:type="dxa"/>
            <w:vMerge/>
            <w:vAlign w:val="center"/>
          </w:tcPr>
          <w:p w14:paraId="4997F7B9" w14:textId="77777777"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14:paraId="00970E9B" w14:textId="77777777" w:rsidTr="00E26458">
        <w:tc>
          <w:tcPr>
            <w:tcW w:w="1750" w:type="dxa"/>
            <w:vAlign w:val="center"/>
          </w:tcPr>
          <w:p w14:paraId="3F390BD4" w14:textId="77777777"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Datum:</w:t>
            </w:r>
          </w:p>
        </w:tc>
        <w:tc>
          <w:tcPr>
            <w:tcW w:w="3752" w:type="dxa"/>
            <w:tcBorders>
              <w:left w:val="nil"/>
            </w:tcBorders>
            <w:vAlign w:val="center"/>
          </w:tcPr>
          <w:p w14:paraId="0A87946B" w14:textId="48124E33" w:rsidR="00144F96" w:rsidRPr="00144F96" w:rsidRDefault="00EF40AF" w:rsidP="007A6587">
            <w:pPr>
              <w:spacing w:after="0" w:line="240" w:lineRule="auto"/>
            </w:pPr>
            <w:r>
              <w:t>1</w:t>
            </w:r>
            <w:r w:rsidR="003A1D92">
              <w:t>7</w:t>
            </w:r>
            <w:r>
              <w:t>.02.2023</w:t>
            </w:r>
          </w:p>
        </w:tc>
        <w:tc>
          <w:tcPr>
            <w:tcW w:w="4387" w:type="dxa"/>
            <w:vMerge/>
            <w:vAlign w:val="center"/>
          </w:tcPr>
          <w:p w14:paraId="0E557C87" w14:textId="77777777"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14:paraId="579B9B62" w14:textId="77777777" w:rsidTr="00E26458">
        <w:trPr>
          <w:trHeight w:val="280"/>
        </w:trPr>
        <w:tc>
          <w:tcPr>
            <w:tcW w:w="1750" w:type="dxa"/>
            <w:vAlign w:val="center"/>
          </w:tcPr>
          <w:p w14:paraId="3E17EF54" w14:textId="77777777"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52" w:type="dxa"/>
            <w:tcBorders>
              <w:left w:val="nil"/>
            </w:tcBorders>
            <w:vAlign w:val="center"/>
          </w:tcPr>
          <w:p w14:paraId="37454B00" w14:textId="77777777" w:rsidR="00C2351A" w:rsidRPr="00144F96" w:rsidRDefault="00C2351A" w:rsidP="00144F96">
            <w:pPr>
              <w:spacing w:after="0" w:line="240" w:lineRule="auto"/>
            </w:pPr>
          </w:p>
        </w:tc>
        <w:tc>
          <w:tcPr>
            <w:tcW w:w="4387" w:type="dxa"/>
            <w:vAlign w:val="center"/>
          </w:tcPr>
          <w:p w14:paraId="785B0A00" w14:textId="77777777" w:rsidR="00144F96" w:rsidRPr="00144F96" w:rsidRDefault="00144F96" w:rsidP="00144F96">
            <w:pPr>
              <w:spacing w:after="0" w:line="240" w:lineRule="auto"/>
            </w:pPr>
          </w:p>
        </w:tc>
      </w:tr>
      <w:tr w:rsidR="00CF1968" w:rsidRPr="00D93B67" w14:paraId="7A8D86A8" w14:textId="77777777" w:rsidTr="00E26458">
        <w:trPr>
          <w:trHeight w:val="194"/>
        </w:trPr>
        <w:tc>
          <w:tcPr>
            <w:tcW w:w="1750" w:type="dxa"/>
            <w:vAlign w:val="center"/>
          </w:tcPr>
          <w:p w14:paraId="07A4E256" w14:textId="77777777" w:rsidR="00CF1968" w:rsidRPr="00144F96" w:rsidRDefault="00CF1968" w:rsidP="00144F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52" w:type="dxa"/>
            <w:tcBorders>
              <w:left w:val="nil"/>
            </w:tcBorders>
            <w:vAlign w:val="center"/>
          </w:tcPr>
          <w:p w14:paraId="5B8BA7A6" w14:textId="6885AAB1" w:rsidR="00CF1968" w:rsidRDefault="00CF1968" w:rsidP="00144F96">
            <w:pPr>
              <w:spacing w:after="0" w:line="240" w:lineRule="auto"/>
            </w:pPr>
          </w:p>
          <w:p w14:paraId="6AF2322C" w14:textId="77777777" w:rsidR="007803F8" w:rsidRDefault="007803F8" w:rsidP="00144F96">
            <w:pPr>
              <w:spacing w:after="0" w:line="240" w:lineRule="auto"/>
            </w:pPr>
          </w:p>
          <w:p w14:paraId="1CB2B335" w14:textId="77777777" w:rsidR="00AE7A6A" w:rsidRDefault="00AE7A6A" w:rsidP="00144F96">
            <w:pPr>
              <w:spacing w:after="0" w:line="240" w:lineRule="auto"/>
            </w:pPr>
          </w:p>
          <w:p w14:paraId="17AB842B" w14:textId="2D0B11B2" w:rsidR="007803F8" w:rsidRDefault="007803F8" w:rsidP="00144F96">
            <w:pPr>
              <w:spacing w:after="0" w:line="240" w:lineRule="auto"/>
            </w:pPr>
          </w:p>
        </w:tc>
        <w:tc>
          <w:tcPr>
            <w:tcW w:w="4387" w:type="dxa"/>
            <w:vAlign w:val="center"/>
          </w:tcPr>
          <w:p w14:paraId="29FA1893" w14:textId="77777777" w:rsidR="00CF1968" w:rsidRPr="00144F96" w:rsidRDefault="00CF1968" w:rsidP="00144F96">
            <w:pPr>
              <w:spacing w:after="0" w:line="240" w:lineRule="auto"/>
            </w:pPr>
          </w:p>
        </w:tc>
      </w:tr>
      <w:tr w:rsidR="003A1F6C" w:rsidRPr="00D93B67" w14:paraId="28121B4D" w14:textId="77777777" w:rsidTr="00E26458">
        <w:trPr>
          <w:trHeight w:val="194"/>
        </w:trPr>
        <w:tc>
          <w:tcPr>
            <w:tcW w:w="9889" w:type="dxa"/>
            <w:gridSpan w:val="3"/>
            <w:vAlign w:val="center"/>
          </w:tcPr>
          <w:p w14:paraId="2273D145" w14:textId="04940935" w:rsidR="007D2B05" w:rsidRDefault="000B406B" w:rsidP="007D2B05">
            <w:pPr>
              <w:pStyle w:val="Nadpis2"/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Rozhodnutí o pozastavení účinnosti nařízení obce</w:t>
            </w:r>
          </w:p>
          <w:p w14:paraId="16637D06" w14:textId="2C4FC95D" w:rsidR="00EA74DC" w:rsidRDefault="00EA74DC" w:rsidP="00136900">
            <w:pPr>
              <w:spacing w:after="0"/>
              <w:jc w:val="both"/>
            </w:pPr>
          </w:p>
          <w:p w14:paraId="0BECB228" w14:textId="687BB512" w:rsidR="009F3D34" w:rsidRDefault="009F3D34" w:rsidP="00136900">
            <w:pPr>
              <w:spacing w:after="0"/>
              <w:jc w:val="both"/>
            </w:pPr>
          </w:p>
          <w:p w14:paraId="6CDE73BD" w14:textId="77777777" w:rsidR="007803F8" w:rsidRDefault="007803F8" w:rsidP="00136900">
            <w:pPr>
              <w:spacing w:after="0"/>
              <w:jc w:val="both"/>
            </w:pPr>
          </w:p>
          <w:p w14:paraId="2E128C96" w14:textId="7455B090" w:rsidR="007D2B05" w:rsidRDefault="007D2B05" w:rsidP="00136900">
            <w:pPr>
              <w:spacing w:after="0"/>
              <w:jc w:val="both"/>
            </w:pPr>
            <w:r>
              <w:t>Ve smyslu § 125 odst. 1 zákona č. 128/2000 Sb., o obcích (obecní zřízení), ve znění pozdějších předpisů</w:t>
            </w:r>
            <w:r w:rsidR="00CA51CC">
              <w:br/>
            </w:r>
            <w:r>
              <w:t>(dále jen „zákon o obcích“), Krajský úřad Jihomoravského kraje (dále jen „Kr</w:t>
            </w:r>
            <w:r w:rsidR="00731068">
              <w:t>Ú</w:t>
            </w:r>
            <w:r>
              <w:t>“)</w:t>
            </w:r>
          </w:p>
          <w:p w14:paraId="18A82B04" w14:textId="77777777" w:rsidR="00136900" w:rsidRDefault="00136900" w:rsidP="00136900">
            <w:pPr>
              <w:spacing w:after="0"/>
              <w:jc w:val="both"/>
            </w:pPr>
          </w:p>
          <w:p w14:paraId="0686E7BD" w14:textId="5BE75AFA" w:rsidR="007D2B05" w:rsidRDefault="0068700E" w:rsidP="001369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rozhodl o pozastavení účinnosti</w:t>
            </w:r>
          </w:p>
          <w:p w14:paraId="0074E261" w14:textId="77777777" w:rsidR="00136900" w:rsidRDefault="00136900" w:rsidP="00136900">
            <w:pPr>
              <w:spacing w:after="0"/>
              <w:jc w:val="center"/>
              <w:rPr>
                <w:b/>
              </w:rPr>
            </w:pPr>
          </w:p>
          <w:p w14:paraId="1F1D56DE" w14:textId="0534FE08" w:rsidR="00136900" w:rsidRPr="009159FD" w:rsidRDefault="007D2B05" w:rsidP="00136900">
            <w:pPr>
              <w:spacing w:after="0"/>
              <w:jc w:val="both"/>
              <w:rPr>
                <w:i/>
                <w:u w:val="single"/>
              </w:rPr>
            </w:pPr>
            <w:r w:rsidRPr="00E97A67">
              <w:rPr>
                <w:u w:val="single"/>
              </w:rPr>
              <w:t>„</w:t>
            </w:r>
            <w:r w:rsidR="001112A9" w:rsidRPr="000F0811">
              <w:rPr>
                <w:i/>
                <w:u w:val="single"/>
              </w:rPr>
              <w:t>N</w:t>
            </w:r>
            <w:r w:rsidR="00944F55">
              <w:rPr>
                <w:i/>
                <w:u w:val="single"/>
              </w:rPr>
              <w:t xml:space="preserve">ařízení </w:t>
            </w:r>
            <w:r w:rsidR="004943AD">
              <w:rPr>
                <w:i/>
                <w:u w:val="single"/>
              </w:rPr>
              <w:t>obce Holubice č. 1/2019 Tržní řád</w:t>
            </w:r>
            <w:r w:rsidR="00C97C3A">
              <w:rPr>
                <w:iCs/>
                <w:u w:val="single"/>
              </w:rPr>
              <w:t>“</w:t>
            </w:r>
            <w:r w:rsidR="00F63F48" w:rsidRPr="00F63F48">
              <w:rPr>
                <w:i/>
              </w:rPr>
              <w:t xml:space="preserve"> </w:t>
            </w:r>
            <w:r w:rsidR="00166892" w:rsidRPr="00D22E9C">
              <w:t>(dá</w:t>
            </w:r>
            <w:r w:rsidR="00440920" w:rsidRPr="00D22E9C">
              <w:t>le jen „nařízení</w:t>
            </w:r>
            <w:r w:rsidR="00F63F48" w:rsidRPr="00D22E9C">
              <w:t xml:space="preserve"> </w:t>
            </w:r>
            <w:r w:rsidR="004943AD">
              <w:t>č. 1/2019</w:t>
            </w:r>
            <w:r w:rsidR="00440920" w:rsidRPr="00D22E9C">
              <w:t>“),</w:t>
            </w:r>
            <w:r w:rsidR="009159FD">
              <w:t xml:space="preserve"> </w:t>
            </w:r>
            <w:r>
              <w:t>a to z následujících důvodů:</w:t>
            </w:r>
          </w:p>
          <w:p w14:paraId="439A3BE5" w14:textId="77777777" w:rsidR="00136900" w:rsidRDefault="00136900" w:rsidP="00136900">
            <w:pPr>
              <w:spacing w:after="0"/>
              <w:jc w:val="both"/>
            </w:pPr>
          </w:p>
          <w:p w14:paraId="0EF89CD8" w14:textId="77777777" w:rsidR="00597F29" w:rsidRDefault="00597F29" w:rsidP="00597F29">
            <w:pPr>
              <w:spacing w:after="0"/>
              <w:jc w:val="both"/>
            </w:pPr>
            <w:r>
              <w:t>V souladu s</w:t>
            </w:r>
            <w:r w:rsidR="00C97C3A">
              <w:t xml:space="preserve"> § 1</w:t>
            </w:r>
            <w:r>
              <w:t xml:space="preserve">25 a násl. zákona o obcích provádí dozor nad vydáváním a obsahem nařízení obcí a usnesení, rozhodnutí a jiných opatření orgánů obcí v přenesené působnosti krajský úřad. </w:t>
            </w:r>
            <w:r w:rsidR="00C97C3A">
              <w:t>Pod</w:t>
            </w:r>
            <w:r>
              <w:t xml:space="preserve">le § 125 odst. 1 téhož zákona odporuje-li nařízení obce zákonu nebo jinému právnímu předpisu, vyzve krajský úřad obec </w:t>
            </w:r>
            <w:r w:rsidR="00C97C3A">
              <w:br/>
            </w:r>
            <w:r>
              <w:t>ke zjednání nápravy.</w:t>
            </w:r>
          </w:p>
          <w:p w14:paraId="72A5C1C3" w14:textId="77777777" w:rsidR="00597F29" w:rsidRDefault="00597F29" w:rsidP="00597F29">
            <w:pPr>
              <w:spacing w:after="0"/>
              <w:jc w:val="both"/>
            </w:pPr>
          </w:p>
          <w:p w14:paraId="5C0757FD" w14:textId="75D97063" w:rsidR="00597F29" w:rsidRDefault="00597F29" w:rsidP="00597F29">
            <w:pPr>
              <w:spacing w:after="0"/>
              <w:jc w:val="both"/>
            </w:pPr>
            <w:r>
              <w:t>Podle čl. 4 odst. 1 usnesení předsednictva České národní rady č. 2/1993 Sb., o vyhlášení Listiny základních práv a svobod jako součásti ústavního pořádku České republiky (dále jen „LZPS“), mohou být povinnosti ukládány toliko na základě zákona a v jeho mezích a jen při zachování základních práv a svobod. Meze základních práv a svobod mohou být za podmínek stanovených LZPS upraveny pouze zákonem. Dle čl. 79 odst. 3 ústavního zákona č. 1/1993 Sb., Ústava České republiky</w:t>
            </w:r>
            <w:r w:rsidR="00786C0E">
              <w:t>,</w:t>
            </w:r>
            <w:r>
              <w:t xml:space="preserve"> mohou orgány územní samosprávy </w:t>
            </w:r>
            <w:r w:rsidR="00452915">
              <w:br/>
            </w:r>
            <w:r>
              <w:t xml:space="preserve">na základě a v mezích zákona vydávat právní předpisy, jsou-li k tomu zákonem zmocněny. </w:t>
            </w:r>
          </w:p>
          <w:p w14:paraId="20C77262" w14:textId="77777777" w:rsidR="00597F29" w:rsidRDefault="00597F29" w:rsidP="00597F29">
            <w:pPr>
              <w:spacing w:after="0"/>
              <w:jc w:val="both"/>
            </w:pPr>
          </w:p>
          <w:p w14:paraId="7B1C8431" w14:textId="77777777" w:rsidR="004E0236" w:rsidRDefault="00597F29" w:rsidP="00597F29">
            <w:pPr>
              <w:spacing w:after="0"/>
              <w:jc w:val="both"/>
              <w:rPr>
                <w:i/>
              </w:rPr>
            </w:pPr>
            <w:r>
              <w:t>Dle § 11 odst. 1 zákona o obcích může obec v přenesené působnosti vydávat na základě zákona a v jeho mezích nařízení obce, je-li k tomu zákonem zmocněna</w:t>
            </w:r>
            <w:r>
              <w:rPr>
                <w:lang w:val="en-US"/>
              </w:rPr>
              <w:t xml:space="preserve">; </w:t>
            </w:r>
            <w:r>
              <w:t xml:space="preserve">podle § 61 odst. 2 písm. a) téhož zákona se obec </w:t>
            </w:r>
            <w:r w:rsidR="00452915">
              <w:br/>
            </w:r>
            <w:r>
              <w:t xml:space="preserve">při vydávání nařízení obce řídí zákonem a jinými právními předpisy (viz např. nález Ústavního soudu sp. zn. Pl. ÚS 31/06 ze dne </w:t>
            </w:r>
            <w:r w:rsidR="00C1236D">
              <w:t>09.07.2007</w:t>
            </w:r>
            <w:r>
              <w:t xml:space="preserve">). Ústavní soud dále ve svém nálezu sp. zn.  Pl. ÚS 11/06 ze dne </w:t>
            </w:r>
            <w:r w:rsidR="00452915">
              <w:t>03.01.</w:t>
            </w:r>
            <w:r>
              <w:t xml:space="preserve">2007 </w:t>
            </w:r>
            <w:r w:rsidR="00452915">
              <w:br/>
            </w:r>
            <w:r>
              <w:t xml:space="preserve">mj. </w:t>
            </w:r>
            <w:r w:rsidR="003F5E29">
              <w:t xml:space="preserve">  </w:t>
            </w:r>
            <w:r w:rsidRPr="00F0359E">
              <w:t xml:space="preserve">uvádí, </w:t>
            </w:r>
            <w:r w:rsidR="008849F6">
              <w:t xml:space="preserve"> </w:t>
            </w:r>
            <w:r w:rsidRPr="00F0359E">
              <w:t>že „</w:t>
            </w:r>
            <w:r w:rsidRPr="00F0359E">
              <w:rPr>
                <w:i/>
              </w:rPr>
              <w:t xml:space="preserve">prostor </w:t>
            </w:r>
            <w:r w:rsidR="008849F6">
              <w:rPr>
                <w:i/>
              </w:rPr>
              <w:t xml:space="preserve"> </w:t>
            </w:r>
            <w:r w:rsidRPr="00F0359E">
              <w:rPr>
                <w:i/>
              </w:rPr>
              <w:t>pro</w:t>
            </w:r>
            <w:r w:rsidR="008849F6">
              <w:rPr>
                <w:i/>
              </w:rPr>
              <w:t xml:space="preserve"> </w:t>
            </w:r>
            <w:r w:rsidRPr="00F0359E">
              <w:rPr>
                <w:i/>
              </w:rPr>
              <w:t xml:space="preserve"> </w:t>
            </w:r>
            <w:r w:rsidR="008849F6">
              <w:rPr>
                <w:i/>
              </w:rPr>
              <w:t xml:space="preserve"> </w:t>
            </w:r>
            <w:r w:rsidRPr="00F0359E">
              <w:rPr>
                <w:i/>
              </w:rPr>
              <w:t xml:space="preserve">vydávání </w:t>
            </w:r>
            <w:r w:rsidR="008849F6">
              <w:rPr>
                <w:i/>
              </w:rPr>
              <w:t xml:space="preserve"> </w:t>
            </w:r>
            <w:r w:rsidRPr="00F0359E">
              <w:rPr>
                <w:i/>
              </w:rPr>
              <w:t xml:space="preserve">nařízení </w:t>
            </w:r>
            <w:r w:rsidR="008849F6">
              <w:rPr>
                <w:i/>
              </w:rPr>
              <w:t xml:space="preserve"> </w:t>
            </w:r>
            <w:r w:rsidRPr="00F0359E">
              <w:rPr>
                <w:i/>
              </w:rPr>
              <w:t xml:space="preserve">jakožto </w:t>
            </w:r>
            <w:r w:rsidR="008849F6">
              <w:rPr>
                <w:i/>
              </w:rPr>
              <w:t xml:space="preserve"> </w:t>
            </w:r>
            <w:r w:rsidRPr="00F0359E">
              <w:rPr>
                <w:i/>
              </w:rPr>
              <w:t xml:space="preserve">prováděcích </w:t>
            </w:r>
            <w:r w:rsidR="008849F6">
              <w:rPr>
                <w:i/>
              </w:rPr>
              <w:t xml:space="preserve"> </w:t>
            </w:r>
            <w:r w:rsidRPr="00F0359E">
              <w:rPr>
                <w:i/>
              </w:rPr>
              <w:t xml:space="preserve">právních </w:t>
            </w:r>
            <w:r w:rsidR="008849F6">
              <w:rPr>
                <w:i/>
              </w:rPr>
              <w:t xml:space="preserve"> </w:t>
            </w:r>
            <w:r w:rsidRPr="00F0359E">
              <w:rPr>
                <w:i/>
              </w:rPr>
              <w:t xml:space="preserve">předpisů </w:t>
            </w:r>
            <w:r w:rsidR="008849F6">
              <w:rPr>
                <w:i/>
              </w:rPr>
              <w:t xml:space="preserve"> </w:t>
            </w:r>
            <w:r w:rsidRPr="00F0359E">
              <w:rPr>
                <w:i/>
              </w:rPr>
              <w:t>k</w:t>
            </w:r>
            <w:r w:rsidR="008849F6">
              <w:rPr>
                <w:i/>
              </w:rPr>
              <w:t> </w:t>
            </w:r>
            <w:r w:rsidRPr="00F0359E">
              <w:rPr>
                <w:i/>
              </w:rPr>
              <w:t>zákonům</w:t>
            </w:r>
            <w:r w:rsidR="008849F6">
              <w:rPr>
                <w:i/>
              </w:rPr>
              <w:t xml:space="preserve"> </w:t>
            </w:r>
            <w:r w:rsidRPr="00F0359E">
              <w:rPr>
                <w:i/>
              </w:rPr>
              <w:t xml:space="preserve">je </w:t>
            </w:r>
            <w:r w:rsidR="008849F6">
              <w:rPr>
                <w:i/>
              </w:rPr>
              <w:t xml:space="preserve"> </w:t>
            </w:r>
            <w:r w:rsidRPr="00F0359E">
              <w:rPr>
                <w:i/>
              </w:rPr>
              <w:t>užší;</w:t>
            </w:r>
          </w:p>
          <w:p w14:paraId="6E2DA340" w14:textId="6A28AC3F" w:rsidR="004763DF" w:rsidRDefault="00597F29" w:rsidP="00597F29">
            <w:pPr>
              <w:spacing w:after="0"/>
              <w:jc w:val="both"/>
            </w:pPr>
            <w:r w:rsidRPr="00F0359E">
              <w:rPr>
                <w:i/>
              </w:rPr>
              <w:t xml:space="preserve">nařízení mohou obce vydávat vždy jen na základě a v mezích konkrétního zákona, resp. za předpokladu jeho </w:t>
            </w:r>
            <w:r w:rsidRPr="00F0359E">
              <w:rPr>
                <w:i/>
              </w:rPr>
              <w:lastRenderedPageBreak/>
              <w:t>výslovného zákonného zmocnění.</w:t>
            </w:r>
            <w:r w:rsidRPr="00F0359E">
              <w:t>“. V nálezu Ústavního</w:t>
            </w:r>
            <w:r w:rsidR="001E03F1">
              <w:t xml:space="preserve"> </w:t>
            </w:r>
            <w:r w:rsidRPr="00F0359E">
              <w:t>soudu sp. zn. Pl. ÚS 27/06 ze dne 24.</w:t>
            </w:r>
            <w:r w:rsidR="00C1236D">
              <w:t>0</w:t>
            </w:r>
            <w:r w:rsidRPr="00F0359E">
              <w:t xml:space="preserve">3.2009 se </w:t>
            </w:r>
            <w:r w:rsidR="00F0359E">
              <w:t xml:space="preserve"> </w:t>
            </w:r>
            <w:r w:rsidR="00452915">
              <w:br/>
            </w:r>
            <w:r w:rsidRPr="00F0359E">
              <w:t>pak</w:t>
            </w:r>
            <w:r w:rsidR="00452915">
              <w:t xml:space="preserve"> </w:t>
            </w:r>
            <w:r>
              <w:t>výslovně uvádí, že obcí „</w:t>
            </w:r>
            <w:r>
              <w:rPr>
                <w:i/>
              </w:rPr>
              <w:t>vydaný předpis musí být obecný a upravovat právní poměry neurčité množiny adresátů, nemůže zasahovat do věcí vyhrazených zákonu a jiným právním předpisům (nesmí být s nimi v rozporu) a musí obsahově vystihnout ten pro další právní úpravu otevřený prostor, jenž odpovídá rámci vymezenému zmocňujícím zákonem a jeho intenci. Zde nacházejí specifické uplatnění i kritéria testu ústavnosti, dovozená pro obecně závazné vyhlášky obce,</w:t>
            </w:r>
            <w:r w:rsidR="00727252">
              <w:rPr>
                <w:i/>
              </w:rPr>
              <w:t xml:space="preserve"> </w:t>
            </w:r>
            <w:r>
              <w:rPr>
                <w:i/>
              </w:rPr>
              <w:t>zejména zda obec při jejím vydání… nezneužila svoji působnost, a uplatní se konečně i obecná kritéria tvorby právních předpisů spočívajících v požadavcích jejich určitosti, srozumitelnosti a adekvátní interpretovatelnosti.</w:t>
            </w:r>
            <w:r w:rsidR="00452915">
              <w:t>“.</w:t>
            </w:r>
          </w:p>
          <w:p w14:paraId="3564E273" w14:textId="77777777" w:rsidR="00B743E4" w:rsidRDefault="00B743E4" w:rsidP="00597F29">
            <w:pPr>
              <w:spacing w:after="0"/>
              <w:jc w:val="both"/>
            </w:pPr>
          </w:p>
          <w:p w14:paraId="6CCEE7EF" w14:textId="77777777" w:rsidR="009751D8" w:rsidRDefault="009751D8" w:rsidP="00597F29">
            <w:pPr>
              <w:spacing w:after="0"/>
              <w:jc w:val="both"/>
            </w:pPr>
          </w:p>
          <w:p w14:paraId="1AD45421" w14:textId="7A78CA7F" w:rsidR="00597F29" w:rsidRDefault="00597F29" w:rsidP="00597F29">
            <w:pPr>
              <w:spacing w:after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Po posouzení nařízení</w:t>
            </w:r>
            <w:r w:rsidR="005009B8">
              <w:rPr>
                <w:b/>
                <w:u w:val="single"/>
              </w:rPr>
              <w:t xml:space="preserve"> </w:t>
            </w:r>
            <w:r w:rsidR="004943AD">
              <w:rPr>
                <w:b/>
                <w:u w:val="single"/>
              </w:rPr>
              <w:t>č. 1/2019</w:t>
            </w:r>
            <w:r w:rsidR="009159FD">
              <w:rPr>
                <w:b/>
                <w:u w:val="single"/>
              </w:rPr>
              <w:t xml:space="preserve"> K</w:t>
            </w:r>
            <w:r>
              <w:rPr>
                <w:b/>
                <w:u w:val="single"/>
              </w:rPr>
              <w:t>r</w:t>
            </w:r>
            <w:r w:rsidR="00731068">
              <w:rPr>
                <w:b/>
                <w:u w:val="single"/>
              </w:rPr>
              <w:t xml:space="preserve">Ú </w:t>
            </w:r>
            <w:r>
              <w:rPr>
                <w:b/>
                <w:u w:val="single"/>
              </w:rPr>
              <w:t>uvádí:</w:t>
            </w:r>
          </w:p>
          <w:p w14:paraId="06FD5404" w14:textId="3F8CC3E4" w:rsidR="00881873" w:rsidRDefault="00881873" w:rsidP="00597F29">
            <w:pPr>
              <w:spacing w:after="0"/>
              <w:jc w:val="both"/>
              <w:rPr>
                <w:b/>
                <w:u w:val="single"/>
              </w:rPr>
            </w:pPr>
          </w:p>
          <w:p w14:paraId="502B0A8B" w14:textId="77777777" w:rsidR="00881873" w:rsidRDefault="00881873" w:rsidP="00881873">
            <w:pPr>
              <w:jc w:val="both"/>
            </w:pPr>
            <w:r>
              <w:t>Ustanovení § 18 zákona č. 455/1991 Sb., o živnostenském podnikání (živnostenský zákon), ve znění pozdějších předpisů (dále jen „živnostenský zákon“) stanoví: „</w:t>
            </w:r>
            <w:r>
              <w:rPr>
                <w:i/>
                <w:iCs/>
              </w:rPr>
              <w:t xml:space="preserve">1) Obec může vydat tržní řád formou nařízení obce. V tržním řádu vymezí místa pro nabídku a prodej zboží (dále jen </w:t>
            </w:r>
            <w:r>
              <w:rPr>
                <w:rFonts w:cs="Calibri"/>
                <w:i/>
                <w:iCs/>
              </w:rPr>
              <w:t>'</w:t>
            </w:r>
            <w:r>
              <w:rPr>
                <w:i/>
                <w:iCs/>
              </w:rPr>
              <w:t>prodej zboží</w:t>
            </w:r>
            <w:r>
              <w:rPr>
                <w:rFonts w:cs="Calibri"/>
                <w:i/>
                <w:iCs/>
              </w:rPr>
              <w:t>'</w:t>
            </w:r>
            <w:r>
              <w:rPr>
                <w:i/>
                <w:iCs/>
              </w:rPr>
              <w:t xml:space="preserve">) a pro nabídku </w:t>
            </w:r>
            <w:r>
              <w:rPr>
                <w:i/>
                <w:iCs/>
              </w:rPr>
              <w:br/>
              <w:t xml:space="preserve">a poskytování služeb (dále jen </w:t>
            </w:r>
            <w:r>
              <w:rPr>
                <w:rFonts w:cs="Calibri"/>
                <w:i/>
                <w:iCs/>
              </w:rPr>
              <w:t>'</w:t>
            </w:r>
            <w:r>
              <w:rPr>
                <w:i/>
                <w:iCs/>
              </w:rPr>
              <w:t>poskytování služeb</w:t>
            </w:r>
            <w:r>
              <w:rPr>
                <w:rFonts w:cs="Calibri"/>
                <w:i/>
                <w:iCs/>
              </w:rPr>
              <w:t>'</w:t>
            </w:r>
            <w:r>
              <w:rPr>
                <w:i/>
                <w:iCs/>
              </w:rPr>
              <w:t xml:space="preserve">) mimo provozovnu určenou k tomuto účelu rozhodnutím, opatřením nebo jiným úkonem vyžadovaným stavebním zákonem. Těmito místy jsou tržnice a tržiště </w:t>
            </w:r>
            <w:r>
              <w:rPr>
                <w:i/>
                <w:iCs/>
              </w:rPr>
              <w:br/>
              <w:t xml:space="preserve">(dále jen </w:t>
            </w:r>
            <w:r>
              <w:rPr>
                <w:rFonts w:cs="Calibri"/>
                <w:i/>
                <w:iCs/>
              </w:rPr>
              <w:t>'</w:t>
            </w:r>
            <w:r>
              <w:rPr>
                <w:i/>
                <w:iCs/>
              </w:rPr>
              <w:t>tržiště</w:t>
            </w:r>
            <w:r>
              <w:rPr>
                <w:rFonts w:cs="Calibri"/>
                <w:i/>
                <w:iCs/>
              </w:rPr>
              <w:t>'</w:t>
            </w:r>
            <w:r>
              <w:rPr>
                <w:i/>
                <w:iCs/>
              </w:rPr>
              <w:t xml:space="preserve">). (2) Obec může tržním řádem vymezit a) kapacitu a požadavky na vybavenost tržišť, </w:t>
            </w:r>
            <w:r>
              <w:rPr>
                <w:i/>
                <w:iCs/>
              </w:rPr>
              <w:br/>
              <w:t xml:space="preserve">b) dobu prodeje zboží a poskytování služeb na tržišti, c) pravidla pro udržování čistoty a bezpečnosti </w:t>
            </w:r>
            <w:r>
              <w:rPr>
                <w:i/>
                <w:iCs/>
              </w:rPr>
              <w:br/>
              <w:t>na tržišti, d) pravidla, která musí dodržet provozovatel tržiště k zajištění jeho řádného provozu,</w:t>
            </w:r>
            <w:r>
              <w:rPr>
                <w:i/>
                <w:iCs/>
              </w:rPr>
              <w:br/>
              <w:t xml:space="preserve">nebo e) pravidla, která musí dodržet provozovatel tržiště pro zajištění řádného užívání tržiště osobami </w:t>
            </w:r>
            <w:r>
              <w:rPr>
                <w:i/>
                <w:iCs/>
              </w:rPr>
              <w:br/>
              <w:t>s omezenou schopností pohybu nebo orientace. (3) Obec může tržním řádem dále a) rozdělit tržiště</w:t>
            </w:r>
            <w:r>
              <w:rPr>
                <w:i/>
                <w:iCs/>
              </w:rPr>
              <w:br/>
              <w:t xml:space="preserve">podle druhu prodávaného zboží nebo poskytované služby, nebo b) stanovit, že se tržní řád nevztahuje </w:t>
            </w:r>
            <w:r>
              <w:rPr>
                <w:i/>
                <w:iCs/>
              </w:rPr>
              <w:br/>
              <w:t xml:space="preserve">na některé formy prodeje zboží nebo poskytování služeb prováděných mimo provozovnu. (4) Obec může nařízením obce stanovit, že některé formy prodeje zboží nebo poskytování služeb prováděné </w:t>
            </w:r>
            <w:r>
              <w:rPr>
                <w:i/>
                <w:iCs/>
              </w:rPr>
              <w:br/>
              <w:t>mimo provozovnu jsou v obci nebo v její části zakázány.</w:t>
            </w:r>
            <w:r>
              <w:t>“.</w:t>
            </w:r>
          </w:p>
          <w:p w14:paraId="2678EC58" w14:textId="37D5ADF5" w:rsidR="00881873" w:rsidRDefault="00881873" w:rsidP="00881873">
            <w:pPr>
              <w:jc w:val="both"/>
              <w:rPr>
                <w:u w:val="single"/>
              </w:rPr>
            </w:pPr>
            <w:r>
              <w:t>Článek 3 odst. 1. nařízení č. 1/2019 uvádí: „</w:t>
            </w:r>
            <w:r>
              <w:rPr>
                <w:i/>
                <w:iCs/>
              </w:rPr>
              <w:t>Počet prodejních míst a jejich výměru stanoví Obecní úřad Holubice a vhodným způsobem o tom informuje prodeje a poskytovatele služeb (dále jen prodejci).</w:t>
            </w:r>
            <w:r>
              <w:t xml:space="preserve">“. </w:t>
            </w:r>
            <w:r>
              <w:br/>
              <w:t>Jak vyplývá z výše citovaného, obec může v souladu s § 18 odst. 2 písm. a) živnostenského zákona tržním řádem vymezit (mj.) kapacitu tržišť, tj. míst dle § 18 odst. 1 téhož zákona. Stanovení kapacity tržišť (míst) je tak - dle zákona - fakultativní (tedy nepovinnou) součástí (náležitostí) tržního řádu</w:t>
            </w:r>
            <w:r>
              <w:rPr>
                <w:rFonts w:cs="Calibri"/>
              </w:rPr>
              <w:t>;</w:t>
            </w:r>
            <w:r>
              <w:t xml:space="preserve"> jinými slovy tato náležitost nemusí být vždy obsahem tržního řádu. Nicméně KrÚ je toho názoru, že pokud obec chce náležitosti uvedené v § 18 odst. 2 živnostenského zákona </w:t>
            </w:r>
            <w:r>
              <w:rPr>
                <w:rFonts w:cs="Calibri"/>
              </w:rPr>
              <w:t>[</w:t>
            </w:r>
            <w:r>
              <w:t>tj. v nyní posuzovaném případě kapacitu tržišť (míst) dle písm. a) uvedeného ustanovení živnostenského zákona</w:t>
            </w:r>
            <w:r>
              <w:rPr>
                <w:rFonts w:cs="Calibri"/>
              </w:rPr>
              <w:t>]</w:t>
            </w:r>
            <w:r>
              <w:t xml:space="preserve"> upravit, musí tak učinit (vždy) explicitně přímo </w:t>
            </w:r>
            <w:r>
              <w:rPr>
                <w:u w:val="single"/>
              </w:rPr>
              <w:t>v tržním řádu</w:t>
            </w:r>
            <w:r>
              <w:t xml:space="preserve">, nikoliv např. odkazem na „nějakou budoucí úpravu mimo tržní řád“. Stejný názor </w:t>
            </w:r>
            <w:r>
              <w:br/>
              <w:t xml:space="preserve">na věc zastává i Ministerstvo průmyslu a obchodu jakožto gestor živnostenského zákona. K tomu KrÚ doplňuje, že kapacitu je možno stanovit buďto počtem prodejních míst či výměrou takových míst.  Citovanou úpravu dle článku 3 odst. 1. nařízení č. 1/2019, kdy kapacitu míst stanovuje Obecní úřad Holubice, tak lze považovat za úpravu nad rámec, tj. v rozporu s příslušným zákonným zmocněním k vydání tržního řádu. </w:t>
            </w:r>
            <w:r w:rsidR="00B60F85">
              <w:t>Vzhledem k tomu</w:t>
            </w:r>
            <w:r>
              <w:t xml:space="preserve"> </w:t>
            </w:r>
            <w:r w:rsidRPr="00B60F85">
              <w:rPr>
                <w:u w:val="single"/>
              </w:rPr>
              <w:t xml:space="preserve">shledal KrÚ znění článku 3 odst. 1. </w:t>
            </w:r>
            <w:r w:rsidR="00B60F85" w:rsidRPr="00B60F85">
              <w:rPr>
                <w:u w:val="single"/>
              </w:rPr>
              <w:t xml:space="preserve">nařízení č. 1/2019 </w:t>
            </w:r>
            <w:r w:rsidRPr="00B60F85">
              <w:rPr>
                <w:u w:val="single"/>
              </w:rPr>
              <w:t>za odporující zákonu.</w:t>
            </w:r>
          </w:p>
          <w:p w14:paraId="1B7F6FFD" w14:textId="77777777" w:rsidR="00B60F85" w:rsidRDefault="00B60F85" w:rsidP="00881873">
            <w:pPr>
              <w:jc w:val="both"/>
            </w:pPr>
          </w:p>
          <w:p w14:paraId="5AED1EBE" w14:textId="15124907" w:rsidR="0024583A" w:rsidRDefault="003C3181" w:rsidP="0024583A">
            <w:pPr>
              <w:jc w:val="both"/>
            </w:pPr>
            <w:r>
              <w:t>S ohledem na</w:t>
            </w:r>
            <w:r w:rsidR="0024583A">
              <w:t xml:space="preserve"> uvedené KrÚ v souladu s § 125 odst. 1 zákona o obcích </w:t>
            </w:r>
            <w:r w:rsidR="00755B0B">
              <w:t xml:space="preserve">vyzval </w:t>
            </w:r>
            <w:r w:rsidR="004943AD">
              <w:t>obec Holubi</w:t>
            </w:r>
            <w:r w:rsidR="001A441D">
              <w:t>c</w:t>
            </w:r>
            <w:r w:rsidR="0024583A">
              <w:t>e</w:t>
            </w:r>
            <w:r w:rsidR="005B597F">
              <w:t xml:space="preserve"> </w:t>
            </w:r>
            <w:r w:rsidR="0024583A">
              <w:t xml:space="preserve">ke zjednání nápravy nařízení </w:t>
            </w:r>
            <w:r w:rsidR="00B812D9">
              <w:t>č. 1/2019</w:t>
            </w:r>
            <w:r w:rsidR="0024583A">
              <w:t xml:space="preserve">, a to sdělením KrÚ č.j.: JMK </w:t>
            </w:r>
            <w:r w:rsidR="001A441D">
              <w:t>1</w:t>
            </w:r>
            <w:r w:rsidR="00B812D9">
              <w:t>66750</w:t>
            </w:r>
            <w:r w:rsidR="001A441D">
              <w:t>/2022</w:t>
            </w:r>
            <w:r w:rsidR="0024583A">
              <w:t xml:space="preserve"> s datem </w:t>
            </w:r>
            <w:r w:rsidR="00B812D9">
              <w:t>23.11</w:t>
            </w:r>
            <w:r w:rsidR="001A441D">
              <w:t>.2022</w:t>
            </w:r>
            <w:r w:rsidR="0024583A">
              <w:t xml:space="preserve"> s názvem „</w:t>
            </w:r>
            <w:r w:rsidR="0024583A" w:rsidRPr="00E23A10">
              <w:rPr>
                <w:i/>
              </w:rPr>
              <w:t xml:space="preserve">Výzva </w:t>
            </w:r>
            <w:r w:rsidR="00581FFC" w:rsidRPr="00E23A10">
              <w:rPr>
                <w:i/>
              </w:rPr>
              <w:br/>
            </w:r>
            <w:r w:rsidR="0024583A" w:rsidRPr="00E23A10">
              <w:rPr>
                <w:i/>
              </w:rPr>
              <w:t>ke zjednání nápravy</w:t>
            </w:r>
            <w:r w:rsidR="0024583A">
              <w:t xml:space="preserve">“ (dále jen „výzva KrÚ“). </w:t>
            </w:r>
            <w:r w:rsidR="00B60762">
              <w:t xml:space="preserve">Ve výzvě KrÚ byly zmíněny i další </w:t>
            </w:r>
            <w:r w:rsidR="00742D02">
              <w:t xml:space="preserve">(„toliko“) </w:t>
            </w:r>
            <w:r w:rsidR="00B60762" w:rsidRPr="00742D02">
              <w:rPr>
                <w:u w:val="single"/>
              </w:rPr>
              <w:t>doporu</w:t>
            </w:r>
            <w:r w:rsidR="00F02425" w:rsidRPr="00742D02">
              <w:rPr>
                <w:u w:val="single"/>
              </w:rPr>
              <w:t>čující</w:t>
            </w:r>
            <w:r w:rsidR="00742D02">
              <w:t xml:space="preserve"> </w:t>
            </w:r>
            <w:r w:rsidR="00F02425">
              <w:t>připomínky KrÚ k</w:t>
            </w:r>
            <w:r w:rsidR="009F15B3">
              <w:t> </w:t>
            </w:r>
            <w:r w:rsidR="002C5D3D">
              <w:t>n</w:t>
            </w:r>
            <w:r w:rsidR="00F02425" w:rsidRPr="00253B7E">
              <w:t xml:space="preserve">ařízení </w:t>
            </w:r>
            <w:r w:rsidR="002C5D3D">
              <w:t>č. 1/2019</w:t>
            </w:r>
            <w:r w:rsidR="00253B7E" w:rsidRPr="00253B7E">
              <w:t xml:space="preserve"> </w:t>
            </w:r>
            <w:r w:rsidR="00F02425" w:rsidRPr="00253B7E">
              <w:t xml:space="preserve">(podrobněji </w:t>
            </w:r>
            <w:r w:rsidR="005B597F" w:rsidRPr="00253B7E">
              <w:t>-</w:t>
            </w:r>
            <w:r w:rsidR="00F02425" w:rsidRPr="00253B7E">
              <w:t xml:space="preserve"> viz str.</w:t>
            </w:r>
            <w:r w:rsidR="00A64E02" w:rsidRPr="00253B7E">
              <w:t xml:space="preserve"> 3</w:t>
            </w:r>
            <w:r w:rsidR="009A31EB" w:rsidRPr="00253B7E">
              <w:t xml:space="preserve"> výzvy KrÚ). </w:t>
            </w:r>
            <w:r w:rsidR="0024583A" w:rsidRPr="00253B7E">
              <w:t>Ke zjednání nápravy nařízen</w:t>
            </w:r>
            <w:r w:rsidR="0074218C" w:rsidRPr="00253B7E">
              <w:t xml:space="preserve">í </w:t>
            </w:r>
            <w:r w:rsidR="00097300">
              <w:br/>
            </w:r>
            <w:r w:rsidR="00097300">
              <w:lastRenderedPageBreak/>
              <w:t>č. 1/2019</w:t>
            </w:r>
            <w:r w:rsidR="00A64E02" w:rsidRPr="00253B7E">
              <w:t xml:space="preserve"> </w:t>
            </w:r>
            <w:r w:rsidR="0074218C" w:rsidRPr="00253B7E">
              <w:t xml:space="preserve">byla </w:t>
            </w:r>
            <w:r w:rsidR="00097300">
              <w:t>obci Holubi</w:t>
            </w:r>
            <w:r w:rsidR="00A64E02" w:rsidRPr="00253B7E">
              <w:t>c</w:t>
            </w:r>
            <w:r w:rsidR="0074218C" w:rsidRPr="00253B7E">
              <w:t>e</w:t>
            </w:r>
            <w:r w:rsidR="0024583A" w:rsidRPr="00253B7E">
              <w:t xml:space="preserve"> stanovena lhůta</w:t>
            </w:r>
            <w:r w:rsidR="0024583A">
              <w:t xml:space="preserve"> do 60 dnů</w:t>
            </w:r>
            <w:r w:rsidR="006F68B8">
              <w:t xml:space="preserve"> </w:t>
            </w:r>
            <w:r w:rsidR="0024583A">
              <w:t xml:space="preserve">ode dne doručení výzvy KrÚ s tím, že </w:t>
            </w:r>
            <w:r w:rsidR="00097300">
              <w:t>obci Holub</w:t>
            </w:r>
            <w:r w:rsidR="00A64E02">
              <w:t>ic</w:t>
            </w:r>
            <w:r w:rsidR="0074218C">
              <w:t>e bylo uloženo</w:t>
            </w:r>
            <w:r w:rsidR="0024583A">
              <w:t>, aby v této lhůtě informoval</w:t>
            </w:r>
            <w:r w:rsidR="00097300">
              <w:t>a</w:t>
            </w:r>
            <w:r w:rsidR="0074218C">
              <w:t xml:space="preserve"> Kr</w:t>
            </w:r>
            <w:r w:rsidR="0003587E">
              <w:t>Ú</w:t>
            </w:r>
            <w:r w:rsidR="006F68B8">
              <w:t xml:space="preserve"> </w:t>
            </w:r>
            <w:r w:rsidR="0024583A">
              <w:t>o způsobu zjednání nápravy nařízení</w:t>
            </w:r>
            <w:r w:rsidR="0074218C">
              <w:t xml:space="preserve"> </w:t>
            </w:r>
            <w:r w:rsidR="00097300">
              <w:t>č. 1/2019</w:t>
            </w:r>
            <w:r w:rsidR="0024583A">
              <w:t>. Současně byl</w:t>
            </w:r>
            <w:r w:rsidR="00097300">
              <w:t>a obec Holub</w:t>
            </w:r>
            <w:r w:rsidR="003B587C">
              <w:t>ic</w:t>
            </w:r>
            <w:r w:rsidR="0074218C">
              <w:t>e</w:t>
            </w:r>
            <w:r w:rsidR="0024583A">
              <w:t xml:space="preserve"> poučen</w:t>
            </w:r>
            <w:r w:rsidR="00097300">
              <w:t>a</w:t>
            </w:r>
            <w:r w:rsidR="0024583A">
              <w:t xml:space="preserve"> následovně: „</w:t>
            </w:r>
            <w:r w:rsidR="0024583A">
              <w:rPr>
                <w:i/>
              </w:rPr>
              <w:t xml:space="preserve">Nezjedná-li </w:t>
            </w:r>
            <w:r w:rsidR="00097300">
              <w:rPr>
                <w:i/>
              </w:rPr>
              <w:t>obec Holubic</w:t>
            </w:r>
            <w:r w:rsidR="0074218C">
              <w:rPr>
                <w:i/>
              </w:rPr>
              <w:t>e</w:t>
            </w:r>
            <w:r w:rsidR="0024583A">
              <w:rPr>
                <w:i/>
              </w:rPr>
              <w:t>,</w:t>
            </w:r>
            <w:r w:rsidR="0074218C">
              <w:rPr>
                <w:i/>
              </w:rPr>
              <w:t xml:space="preserve"> </w:t>
            </w:r>
            <w:r w:rsidR="0024583A">
              <w:rPr>
                <w:i/>
              </w:rPr>
              <w:t xml:space="preserve">resp. </w:t>
            </w:r>
            <w:r w:rsidR="00097300">
              <w:rPr>
                <w:i/>
              </w:rPr>
              <w:t>Zastupitelstvo obce Holub</w:t>
            </w:r>
            <w:r w:rsidR="00B30E19">
              <w:rPr>
                <w:i/>
              </w:rPr>
              <w:t>ic</w:t>
            </w:r>
            <w:r w:rsidR="0074218C">
              <w:rPr>
                <w:i/>
              </w:rPr>
              <w:t>e</w:t>
            </w:r>
            <w:r w:rsidR="0024583A">
              <w:rPr>
                <w:i/>
              </w:rPr>
              <w:t xml:space="preserve"> nápravu (ve lhůtě) do 60 dnů ode dne doručení této výzvy, rozhodne Kr</w:t>
            </w:r>
            <w:r w:rsidR="004C5D89">
              <w:rPr>
                <w:i/>
              </w:rPr>
              <w:t>Ú</w:t>
            </w:r>
            <w:r w:rsidR="0024583A">
              <w:rPr>
                <w:i/>
              </w:rPr>
              <w:t xml:space="preserve"> v souladu s § 125 odst. 1 zákona </w:t>
            </w:r>
            <w:r w:rsidR="00097300">
              <w:rPr>
                <w:i/>
              </w:rPr>
              <w:br/>
            </w:r>
            <w:r w:rsidR="0024583A">
              <w:rPr>
                <w:i/>
              </w:rPr>
              <w:t xml:space="preserve">o obcích o pozastavení účinnosti nařízení </w:t>
            </w:r>
            <w:r w:rsidR="00097300">
              <w:rPr>
                <w:i/>
              </w:rPr>
              <w:t>č. 1/2019</w:t>
            </w:r>
            <w:r w:rsidR="0024583A">
              <w:rPr>
                <w:i/>
              </w:rPr>
              <w:t>.</w:t>
            </w:r>
            <w:r w:rsidR="0024583A">
              <w:t xml:space="preserve">“. Výzvu KrÚ </w:t>
            </w:r>
            <w:r w:rsidR="00097300">
              <w:t>obec Holubice</w:t>
            </w:r>
            <w:r w:rsidR="0024583A">
              <w:t xml:space="preserve"> obdržel</w:t>
            </w:r>
            <w:r w:rsidR="00097300">
              <w:t xml:space="preserve">a </w:t>
            </w:r>
            <w:r w:rsidR="0024583A">
              <w:t xml:space="preserve">dne </w:t>
            </w:r>
            <w:r w:rsidR="002E6D73">
              <w:t>23.11</w:t>
            </w:r>
            <w:r w:rsidR="009C4E3F">
              <w:t>.2022</w:t>
            </w:r>
            <w:r w:rsidR="0024583A">
              <w:t xml:space="preserve">. Nápravu nařízení </w:t>
            </w:r>
            <w:r w:rsidR="002E6D73">
              <w:t>č. 1/2019</w:t>
            </w:r>
            <w:r w:rsidR="0024583A">
              <w:t xml:space="preserve"> tak byl</w:t>
            </w:r>
            <w:r w:rsidR="002E6D73">
              <w:t>a obec Holub</w:t>
            </w:r>
            <w:r w:rsidR="009C4E3F">
              <w:t>ice</w:t>
            </w:r>
            <w:r w:rsidR="00674997">
              <w:t xml:space="preserve"> povin</w:t>
            </w:r>
            <w:r w:rsidR="002E6D73">
              <w:t>na</w:t>
            </w:r>
            <w:r w:rsidR="009C4E3F">
              <w:t xml:space="preserve"> </w:t>
            </w:r>
            <w:r w:rsidR="0024583A">
              <w:t xml:space="preserve">zjednat </w:t>
            </w:r>
            <w:r w:rsidR="0024583A" w:rsidRPr="006F68B8">
              <w:rPr>
                <w:b/>
                <w:bCs/>
              </w:rPr>
              <w:t xml:space="preserve">ve lhůtě do </w:t>
            </w:r>
            <w:r w:rsidR="002E6D73">
              <w:rPr>
                <w:b/>
                <w:bCs/>
              </w:rPr>
              <w:t>23.01.2023</w:t>
            </w:r>
            <w:r w:rsidR="009634DA">
              <w:t xml:space="preserve"> </w:t>
            </w:r>
            <w:r w:rsidR="006F68B8">
              <w:br/>
            </w:r>
            <w:r w:rsidR="009634DA">
              <w:t>(a v této lhůtě taktéž informovat KrÚ o způsobu</w:t>
            </w:r>
            <w:r w:rsidR="00B10ECF">
              <w:t xml:space="preserve"> zjednání nápravy ve věci).</w:t>
            </w:r>
            <w:r w:rsidR="0024583A">
              <w:t xml:space="preserve"> </w:t>
            </w:r>
          </w:p>
          <w:p w14:paraId="40E62892" w14:textId="42C10526" w:rsidR="00C71363" w:rsidRDefault="009221A0" w:rsidP="0024583A">
            <w:pPr>
              <w:jc w:val="both"/>
            </w:pPr>
            <w:r>
              <w:t xml:space="preserve">Ve lhůtě pro zjednání nápravy nařízení </w:t>
            </w:r>
            <w:r w:rsidR="00686E31">
              <w:t>č. 1/2019</w:t>
            </w:r>
            <w:r>
              <w:t xml:space="preserve"> však KrÚ ze strany </w:t>
            </w:r>
            <w:r w:rsidR="00686E31">
              <w:t>obce Holub</w:t>
            </w:r>
            <w:r>
              <w:t xml:space="preserve">ice </w:t>
            </w:r>
            <w:r w:rsidR="00F82667">
              <w:t xml:space="preserve">žádné sdělení o nápravě nařízení </w:t>
            </w:r>
            <w:r w:rsidR="00686E31">
              <w:t>č. 1/2019</w:t>
            </w:r>
            <w:r w:rsidR="00F82667">
              <w:t xml:space="preserve"> neobdržel. S ohledem na uvedené </w:t>
            </w:r>
            <w:r w:rsidR="00426853">
              <w:t>byl</w:t>
            </w:r>
            <w:r w:rsidR="00686E31">
              <w:t>a obec Holu</w:t>
            </w:r>
            <w:r w:rsidR="00DF4BFC">
              <w:t>b</w:t>
            </w:r>
            <w:r w:rsidR="00426853">
              <w:t xml:space="preserve">ice dne </w:t>
            </w:r>
            <w:r w:rsidR="00DF4BFC">
              <w:t>24.01.2023</w:t>
            </w:r>
            <w:r w:rsidR="00426853">
              <w:t xml:space="preserve"> </w:t>
            </w:r>
            <w:r w:rsidR="006B1BBE">
              <w:t>KrÚ požádán</w:t>
            </w:r>
            <w:r w:rsidR="00DF4BFC">
              <w:t>a</w:t>
            </w:r>
            <w:r w:rsidR="00DF4BFC">
              <w:br/>
            </w:r>
            <w:r w:rsidR="006B1BBE">
              <w:t xml:space="preserve">o sdělení k nápravě nařízení </w:t>
            </w:r>
            <w:r w:rsidR="00DF4BFC">
              <w:t>č. 1/2019</w:t>
            </w:r>
            <w:r w:rsidR="006B1BBE">
              <w:t xml:space="preserve">, a to e-mailovým sdělením </w:t>
            </w:r>
            <w:r w:rsidR="0022755D">
              <w:t>pracovnice odboru kontrolního a právního KrÚ Mgr. Zimkov</w:t>
            </w:r>
            <w:r w:rsidR="004E0F39">
              <w:t>é</w:t>
            </w:r>
            <w:r w:rsidR="004E0F39">
              <w:rPr>
                <w:rFonts w:cs="Calibri"/>
              </w:rPr>
              <w:t>;</w:t>
            </w:r>
            <w:r w:rsidR="004E0F39">
              <w:t xml:space="preserve"> konkrétně byl</w:t>
            </w:r>
            <w:r w:rsidR="002118F8">
              <w:t>a obec Holubi</w:t>
            </w:r>
            <w:r w:rsidR="004E0F39">
              <w:t>ce (mj.) požádán</w:t>
            </w:r>
            <w:r w:rsidR="002118F8">
              <w:t>a</w:t>
            </w:r>
            <w:r w:rsidR="004E0F39">
              <w:t xml:space="preserve"> o „</w:t>
            </w:r>
            <w:r w:rsidR="004E0F39">
              <w:rPr>
                <w:i/>
                <w:iCs/>
              </w:rPr>
              <w:t>sdělení</w:t>
            </w:r>
            <w:r w:rsidR="00090242">
              <w:rPr>
                <w:i/>
                <w:iCs/>
              </w:rPr>
              <w:t xml:space="preserve">, zda byla náprava nařízení obce zjednána (pro tento případ je vhodné KrÚ </w:t>
            </w:r>
            <w:r w:rsidR="009D1069">
              <w:rPr>
                <w:i/>
                <w:iCs/>
              </w:rPr>
              <w:t>JMK zaslat předmětné nařízení obce Holubice) či nikoliv (v tomto případě je třeba KrÚ JMK sdělit, kdy bude náprava zjednána</w:t>
            </w:r>
            <w:r w:rsidR="00034CFE">
              <w:rPr>
                <w:i/>
                <w:iCs/>
              </w:rPr>
              <w:t>).</w:t>
            </w:r>
            <w:r w:rsidR="00E734D9">
              <w:t>“</w:t>
            </w:r>
            <w:r w:rsidR="00034CFE">
              <w:t xml:space="preserve">. </w:t>
            </w:r>
            <w:r w:rsidR="005711EA">
              <w:t xml:space="preserve">Jelikož nebylo na toto e-mailové sdělení </w:t>
            </w:r>
            <w:r w:rsidR="00EE66C9">
              <w:br/>
            </w:r>
            <w:r w:rsidR="005711EA">
              <w:t xml:space="preserve">ze strany obce Holubice reagováno, </w:t>
            </w:r>
            <w:r w:rsidR="00F715BA">
              <w:t>byla obec Holubice</w:t>
            </w:r>
            <w:r w:rsidR="00EE66C9">
              <w:t xml:space="preserve"> opětovaně dotázána na způsob zjednání nápravy nařízení č. 1/2019</w:t>
            </w:r>
            <w:r w:rsidR="00F715BA">
              <w:t xml:space="preserve">, a to sdělením KrÚ č.j.: JMK 15599/2023 ze dne </w:t>
            </w:r>
            <w:r w:rsidR="00AE0CFC">
              <w:t>30.01.2023 nazvaným „</w:t>
            </w:r>
            <w:r w:rsidR="00AE0CFC">
              <w:rPr>
                <w:i/>
                <w:iCs/>
              </w:rPr>
              <w:t xml:space="preserve">Náprava nařízení obce Holubice </w:t>
            </w:r>
            <w:r w:rsidR="00561EE1">
              <w:rPr>
                <w:i/>
                <w:iCs/>
              </w:rPr>
              <w:t>-</w:t>
            </w:r>
            <w:r w:rsidR="00AE0CFC">
              <w:rPr>
                <w:i/>
                <w:iCs/>
              </w:rPr>
              <w:t xml:space="preserve"> dotaz</w:t>
            </w:r>
            <w:r w:rsidR="00AE0CFC">
              <w:t>“, které obec Holubice obdržel</w:t>
            </w:r>
            <w:r w:rsidR="001046D4">
              <w:t>a</w:t>
            </w:r>
            <w:r w:rsidR="00AE0CFC">
              <w:t xml:space="preserve"> </w:t>
            </w:r>
            <w:r w:rsidR="00EE66C9">
              <w:t xml:space="preserve">téhož </w:t>
            </w:r>
            <w:r w:rsidR="00AE0CFC">
              <w:t xml:space="preserve">dne </w:t>
            </w:r>
            <w:r w:rsidR="00EE66C9">
              <w:t xml:space="preserve">(k podrobnostem </w:t>
            </w:r>
            <w:r w:rsidR="00E65745">
              <w:t>-</w:t>
            </w:r>
            <w:r w:rsidR="00EE66C9">
              <w:t xml:space="preserve"> viz </w:t>
            </w:r>
            <w:r w:rsidR="00E65745">
              <w:t>znění tohoto sdělení KrÚ).</w:t>
            </w:r>
            <w:r w:rsidR="009E3C36">
              <w:t xml:space="preserve"> Následně dne 31.01.2023 starost</w:t>
            </w:r>
            <w:r w:rsidR="00984638">
              <w:t>a</w:t>
            </w:r>
            <w:r w:rsidR="009E3C36">
              <w:t xml:space="preserve"> obce Holubice </w:t>
            </w:r>
            <w:r w:rsidR="00984638">
              <w:t>telefonicky Mgr. Zimkové sdělil, ž</w:t>
            </w:r>
            <w:r w:rsidR="008D59E7">
              <w:t xml:space="preserve">e náprava nařízení č. 1/2019 bude zjednána cca v polovině </w:t>
            </w:r>
            <w:r w:rsidR="004102C3">
              <w:t xml:space="preserve">měsíce </w:t>
            </w:r>
            <w:r w:rsidR="008D59E7">
              <w:t>únor</w:t>
            </w:r>
            <w:r w:rsidR="00B97402">
              <w:t>u</w:t>
            </w:r>
            <w:r w:rsidR="008D59E7">
              <w:t xml:space="preserve"> roku 2023</w:t>
            </w:r>
            <w:r w:rsidR="00E45637">
              <w:rPr>
                <w:rFonts w:cs="Calibri"/>
              </w:rPr>
              <w:t>;</w:t>
            </w:r>
            <w:r w:rsidR="00E45637">
              <w:t xml:space="preserve"> bylo dohodnuto, že obec Holubice v tomto duchu informuje KrÚ zasláním písemného sdělení</w:t>
            </w:r>
            <w:r w:rsidR="008D59E7">
              <w:t>.</w:t>
            </w:r>
            <w:r w:rsidR="00D70208">
              <w:t xml:space="preserve"> Ze strany KrÚ byly obci Holubice dále zaslány „vzory“ nařízení obce k případnému využití při zjednání nápravy </w:t>
            </w:r>
            <w:r w:rsidR="00F71F41">
              <w:t xml:space="preserve">nařízení č. 1/2019 (viz e-mailová sdělení </w:t>
            </w:r>
            <w:r w:rsidR="00B97402">
              <w:br/>
            </w:r>
            <w:r w:rsidR="00F71F41">
              <w:t>Mgr. Zimkové ze dne 31.01.2023 a</w:t>
            </w:r>
            <w:r w:rsidR="00A84927">
              <w:t xml:space="preserve"> dne</w:t>
            </w:r>
            <w:r w:rsidR="00F71F41">
              <w:t xml:space="preserve"> 01.02.2023).</w:t>
            </w:r>
            <w:r w:rsidR="004102C3">
              <w:t xml:space="preserve"> </w:t>
            </w:r>
            <w:r w:rsidR="0008228E">
              <w:t>Vzhledem k nečinn</w:t>
            </w:r>
            <w:r w:rsidR="002209D9">
              <w:t>os</w:t>
            </w:r>
            <w:r w:rsidR="0008228E">
              <w:t xml:space="preserve">ti obce Holubice byla obec Holubice </w:t>
            </w:r>
            <w:r w:rsidR="002209D9">
              <w:t>e</w:t>
            </w:r>
            <w:r w:rsidR="00AB39AF">
              <w:t xml:space="preserve">-mailovým sdělením Mgr. Zimkové ze dne 15.02.2023 opětovně </w:t>
            </w:r>
            <w:r w:rsidR="009F4622">
              <w:t>kontaktována ve věci zjednání nápravy nařízení č. 1/2019</w:t>
            </w:r>
            <w:r w:rsidR="00EE1A5F">
              <w:rPr>
                <w:rFonts w:cs="Calibri"/>
              </w:rPr>
              <w:t>;</w:t>
            </w:r>
            <w:r w:rsidR="00EE1A5F">
              <w:t xml:space="preserve"> </w:t>
            </w:r>
            <w:r w:rsidR="009F4622">
              <w:t xml:space="preserve">dle e-mailového sdělení starosty obce Holubice </w:t>
            </w:r>
            <w:r w:rsidR="002E660B">
              <w:t xml:space="preserve">ze dne 15.02.2023 náprava nařízení č. 1/2019 </w:t>
            </w:r>
            <w:r w:rsidR="00EE1A5F">
              <w:t xml:space="preserve">(zatím) </w:t>
            </w:r>
            <w:r w:rsidR="002E660B">
              <w:t>z</w:t>
            </w:r>
            <w:r w:rsidR="00EE1A5F">
              <w:t>je</w:t>
            </w:r>
            <w:r w:rsidR="002E660B">
              <w:t xml:space="preserve">dnána nebyla </w:t>
            </w:r>
            <w:r w:rsidR="00262963">
              <w:t>s tím, že „</w:t>
            </w:r>
            <w:r w:rsidR="002E660B" w:rsidRPr="00262963">
              <w:rPr>
                <w:i/>
                <w:iCs/>
              </w:rPr>
              <w:t>Předběžně bude nový tržní řád projednáván nejdříve 2.3.2013.</w:t>
            </w:r>
            <w:r w:rsidR="00262963">
              <w:t xml:space="preserve">“. </w:t>
            </w:r>
            <w:r w:rsidR="00C71363">
              <w:t xml:space="preserve">Současně KrÚ „ověřil“, že </w:t>
            </w:r>
            <w:r w:rsidR="00264B6D">
              <w:t xml:space="preserve">ve </w:t>
            </w:r>
            <w:r w:rsidR="009F5392">
              <w:t xml:space="preserve">Sbírce právních předpisů územních samosprávných celků </w:t>
            </w:r>
            <w:r w:rsidR="002209D9">
              <w:br/>
            </w:r>
            <w:r w:rsidR="009F5392">
              <w:t xml:space="preserve">a některých správních úřadů </w:t>
            </w:r>
            <w:r w:rsidR="00264B6D">
              <w:t>nebylo k</w:t>
            </w:r>
            <w:r w:rsidR="002054E0">
              <w:t xml:space="preserve">e </w:t>
            </w:r>
            <w:r w:rsidR="00264B6D">
              <w:t xml:space="preserve">dni </w:t>
            </w:r>
            <w:r w:rsidR="00BA00EF">
              <w:t>16.02.2023</w:t>
            </w:r>
            <w:r w:rsidR="002054E0">
              <w:t xml:space="preserve"> </w:t>
            </w:r>
            <w:r w:rsidR="00264B6D">
              <w:t>zveřejněno (žádné) nařízení</w:t>
            </w:r>
            <w:r w:rsidR="008833BC">
              <w:t xml:space="preserve"> </w:t>
            </w:r>
            <w:r w:rsidR="00BA00EF">
              <w:t>obce Holub</w:t>
            </w:r>
            <w:r w:rsidR="008833BC">
              <w:t xml:space="preserve">ice, </w:t>
            </w:r>
            <w:r w:rsidR="002209D9">
              <w:br/>
            </w:r>
            <w:r w:rsidR="008833BC">
              <w:t xml:space="preserve">kterým byla zjednána náprava nařízení </w:t>
            </w:r>
            <w:r w:rsidR="009F5392">
              <w:t>č. 1/2019</w:t>
            </w:r>
            <w:r w:rsidR="008833BC">
              <w:t>.</w:t>
            </w:r>
          </w:p>
          <w:p w14:paraId="68B9DC8D" w14:textId="77777777" w:rsidR="00E31119" w:rsidRDefault="00E31119" w:rsidP="0024583A">
            <w:pPr>
              <w:jc w:val="both"/>
            </w:pPr>
          </w:p>
          <w:p w14:paraId="71EB79BA" w14:textId="4382A2BB" w:rsidR="0024583A" w:rsidRDefault="00AB5B95" w:rsidP="0024583A">
            <w:pPr>
              <w:jc w:val="both"/>
            </w:pPr>
            <w:r>
              <w:t xml:space="preserve">S ohledem na uvedené KrÚ konstatuje, že náprava nařízení </w:t>
            </w:r>
            <w:r w:rsidR="0041666D">
              <w:t>č. 1/2019</w:t>
            </w:r>
            <w:r>
              <w:t xml:space="preserve"> v </w:t>
            </w:r>
            <w:r w:rsidR="00CF3186">
              <w:rPr>
                <w:sz w:val="24"/>
                <w:szCs w:val="24"/>
              </w:rPr>
              <w:t>(</w:t>
            </w:r>
            <w:r>
              <w:t xml:space="preserve">zákonem) stanovené lhůtě ze strany </w:t>
            </w:r>
            <w:r w:rsidR="0041666D">
              <w:t>obce Holub</w:t>
            </w:r>
            <w:r w:rsidR="003352EE">
              <w:t>ice</w:t>
            </w:r>
            <w:r w:rsidR="00802469">
              <w:t xml:space="preserve"> </w:t>
            </w:r>
            <w:r w:rsidR="00FD47EF">
              <w:t xml:space="preserve">nebyla </w:t>
            </w:r>
            <w:r>
              <w:t>zjednána.</w:t>
            </w:r>
            <w:r w:rsidR="003E6AA6">
              <w:t xml:space="preserve"> </w:t>
            </w:r>
            <w:r w:rsidR="0024583A">
              <w:t>Kr</w:t>
            </w:r>
            <w:r w:rsidR="00270795">
              <w:t>Ú</w:t>
            </w:r>
            <w:r w:rsidR="0024583A">
              <w:t xml:space="preserve"> tudíž </w:t>
            </w:r>
            <w:r w:rsidR="006E1B88">
              <w:t xml:space="preserve">nezbylo než </w:t>
            </w:r>
            <w:r w:rsidR="0024583A">
              <w:t>v souladu s § 125 odst. 1 zákona o obcích rozhod</w:t>
            </w:r>
            <w:r w:rsidR="006E1B88">
              <w:t xml:space="preserve">nout </w:t>
            </w:r>
            <w:r w:rsidR="0024583A">
              <w:t>o pozastavení účinnosti nařízení</w:t>
            </w:r>
            <w:r w:rsidR="00270795">
              <w:t xml:space="preserve"> </w:t>
            </w:r>
            <w:r w:rsidR="0041666D">
              <w:t>č. 1/2019</w:t>
            </w:r>
            <w:r w:rsidR="0024583A">
              <w:t>. Podle</w:t>
            </w:r>
            <w:r w:rsidR="006E1B88">
              <w:t xml:space="preserve"> </w:t>
            </w:r>
            <w:r w:rsidR="0024583A">
              <w:t xml:space="preserve">§ 125 odst. 1 zákona o obcích je účinnost nařízení </w:t>
            </w:r>
            <w:r w:rsidR="0086526F">
              <w:br/>
            </w:r>
            <w:r w:rsidR="0041666D">
              <w:t>č. 1/2019</w:t>
            </w:r>
            <w:r w:rsidR="0024583A">
              <w:t xml:space="preserve"> pozastavena dnem doručení tohoto rozhodnutí </w:t>
            </w:r>
            <w:r w:rsidR="000F4C14">
              <w:t>obci Holub</w:t>
            </w:r>
            <w:r w:rsidR="005B5E87">
              <w:t>ic</w:t>
            </w:r>
            <w:r w:rsidR="00270795">
              <w:t>e</w:t>
            </w:r>
            <w:r w:rsidR="0024583A">
              <w:t xml:space="preserve">. </w:t>
            </w:r>
          </w:p>
          <w:p w14:paraId="1EA534F0" w14:textId="77777777" w:rsidR="007803F8" w:rsidRDefault="007803F8" w:rsidP="0024583A">
            <w:pPr>
              <w:jc w:val="both"/>
            </w:pPr>
          </w:p>
          <w:p w14:paraId="71A9DB5D" w14:textId="42ECAB36" w:rsidR="0024583A" w:rsidRDefault="0024583A" w:rsidP="0024583A">
            <w:pPr>
              <w:jc w:val="both"/>
            </w:pPr>
            <w:r>
              <w:t>V souladu s § 125 odst. 1 zákona o obcích současně Kr</w:t>
            </w:r>
            <w:r w:rsidR="00270795">
              <w:t>Ú</w:t>
            </w:r>
            <w:r>
              <w:t xml:space="preserve"> stanovuje </w:t>
            </w:r>
            <w:r w:rsidR="0086526F">
              <w:t>obc</w:t>
            </w:r>
            <w:r w:rsidR="00AD6C48">
              <w:t xml:space="preserve">i </w:t>
            </w:r>
            <w:r w:rsidR="0086526F">
              <w:t>Holub</w:t>
            </w:r>
            <w:r w:rsidR="00E45E7B">
              <w:t>ice</w:t>
            </w:r>
            <w:r>
              <w:t xml:space="preserve"> přiměřenou lhůtu </w:t>
            </w:r>
            <w:r w:rsidR="0063092F">
              <w:br/>
            </w:r>
            <w:r>
              <w:t xml:space="preserve">ke zjednání nápravy nařízení </w:t>
            </w:r>
            <w:r w:rsidR="0086526F">
              <w:t>č. 1/2019</w:t>
            </w:r>
            <w:r>
              <w:t xml:space="preserve"> </w:t>
            </w:r>
            <w:r>
              <w:rPr>
                <w:lang w:val="en-US"/>
              </w:rPr>
              <w:t>[</w:t>
            </w:r>
            <w:r>
              <w:t xml:space="preserve">nápravu je třeba zjednat přijetím (nového) nařízení </w:t>
            </w:r>
            <w:r w:rsidR="0086526F">
              <w:t>obce Holubi</w:t>
            </w:r>
            <w:r w:rsidR="003352EE">
              <w:t>ce</w:t>
            </w:r>
            <w:r>
              <w:t xml:space="preserve">], </w:t>
            </w:r>
            <w:r>
              <w:br/>
              <w:t xml:space="preserve">a to </w:t>
            </w:r>
            <w:r>
              <w:rPr>
                <w:u w:val="single"/>
              </w:rPr>
              <w:t>do 60 dnů ode dne doručení tohoto rozhodnutí</w:t>
            </w:r>
            <w:r>
              <w:t xml:space="preserve"> </w:t>
            </w:r>
            <w:r w:rsidR="0086526F">
              <w:t>obc</w:t>
            </w:r>
            <w:r w:rsidR="00E45E7B">
              <w:t xml:space="preserve">i </w:t>
            </w:r>
            <w:r w:rsidR="0086526F">
              <w:t>Holub</w:t>
            </w:r>
            <w:r w:rsidR="00E45E7B">
              <w:t>ic</w:t>
            </w:r>
            <w:r w:rsidR="005C3A04">
              <w:t>e</w:t>
            </w:r>
            <w:r w:rsidR="00A63EA2">
              <w:t xml:space="preserve"> (v této lhůtě je obec Holubice povinna informovat KrÚ o způsobu zjednání nápravy nařízení č. 1/2019)</w:t>
            </w:r>
            <w:r>
              <w:t>.</w:t>
            </w:r>
          </w:p>
          <w:p w14:paraId="1C51764C" w14:textId="20071D4E" w:rsidR="0024583A" w:rsidRDefault="0024583A" w:rsidP="0024583A">
            <w:pPr>
              <w:jc w:val="both"/>
            </w:pPr>
            <w:r>
              <w:t xml:space="preserve">Ve smyslu § 125 odst. 1 zákona o obcích zjedná-li příslušný orgán </w:t>
            </w:r>
            <w:r w:rsidR="0086526F">
              <w:t>obc</w:t>
            </w:r>
            <w:r w:rsidR="006A2AD9">
              <w:t xml:space="preserve">e </w:t>
            </w:r>
            <w:r w:rsidR="0086526F">
              <w:t>Holub</w:t>
            </w:r>
            <w:r w:rsidR="006A2AD9">
              <w:t>ice</w:t>
            </w:r>
            <w:r>
              <w:t xml:space="preserve"> (tedy </w:t>
            </w:r>
            <w:r w:rsidR="0086526F">
              <w:t>Zastupitelstvo</w:t>
            </w:r>
            <w:r w:rsidR="005C3A04">
              <w:t xml:space="preserve"> </w:t>
            </w:r>
            <w:r w:rsidR="0086526F">
              <w:t>obc</w:t>
            </w:r>
            <w:r w:rsidR="006A2AD9">
              <w:t xml:space="preserve">e </w:t>
            </w:r>
            <w:r w:rsidR="0086526F">
              <w:t>Holub</w:t>
            </w:r>
            <w:r w:rsidR="006A2AD9">
              <w:t>ic</w:t>
            </w:r>
            <w:r w:rsidR="005C3A04">
              <w:t>e</w:t>
            </w:r>
            <w:r>
              <w:t>) nápravu ve stanovené lhůtě, Kr</w:t>
            </w:r>
            <w:r w:rsidR="005C3A04">
              <w:t>Ú</w:t>
            </w:r>
            <w:r>
              <w:t xml:space="preserve"> rozhodnutí o pozastavení účinnosti nařízení</w:t>
            </w:r>
            <w:r w:rsidR="005C3A04">
              <w:t xml:space="preserve"> </w:t>
            </w:r>
            <w:r w:rsidR="0086526F">
              <w:t>č. 1/2019</w:t>
            </w:r>
            <w:r>
              <w:t xml:space="preserve"> zruší</w:t>
            </w:r>
            <w:r w:rsidR="00ED1395">
              <w:t xml:space="preserve"> </w:t>
            </w:r>
            <w:r>
              <w:t xml:space="preserve">neprodleně poté, co obdrží sdělení </w:t>
            </w:r>
            <w:r w:rsidR="0086526F">
              <w:t>obce Holubi</w:t>
            </w:r>
            <w:r w:rsidR="00965F3E">
              <w:t>c</w:t>
            </w:r>
            <w:r w:rsidR="005C3A04">
              <w:t>e</w:t>
            </w:r>
            <w:r>
              <w:t xml:space="preserve"> o zjednání nápravy, jehož přílohou je i nařízení </w:t>
            </w:r>
            <w:r w:rsidR="0086526F">
              <w:t>obce Holubi</w:t>
            </w:r>
            <w:r w:rsidR="00AD6C48">
              <w:t>ce</w:t>
            </w:r>
            <w:r>
              <w:t>,</w:t>
            </w:r>
            <w:r w:rsidR="00752054">
              <w:t xml:space="preserve"> </w:t>
            </w:r>
            <w:r>
              <w:t>kterým byla zjednána náprava.</w:t>
            </w:r>
          </w:p>
          <w:p w14:paraId="4BFBFAE6" w14:textId="77777777" w:rsidR="00A91DDE" w:rsidRDefault="00A91DDE" w:rsidP="0024583A">
            <w:pPr>
              <w:jc w:val="both"/>
            </w:pPr>
          </w:p>
          <w:p w14:paraId="60BDCC99" w14:textId="2D6B5D67" w:rsidR="0009620D" w:rsidRDefault="0009620D" w:rsidP="0009620D">
            <w:pPr>
              <w:jc w:val="both"/>
            </w:pPr>
            <w:r>
              <w:rPr>
                <w:b/>
              </w:rPr>
              <w:lastRenderedPageBreak/>
              <w:t xml:space="preserve">Poučení: </w:t>
            </w:r>
            <w:r>
              <w:t>Nezjedná-li</w:t>
            </w:r>
            <w:r w:rsidR="00D74644">
              <w:t xml:space="preserve"> </w:t>
            </w:r>
            <w:r w:rsidR="0086526F">
              <w:t>Zastupitelstvo obce</w:t>
            </w:r>
            <w:r w:rsidR="00D74644">
              <w:t xml:space="preserve"> </w:t>
            </w:r>
            <w:r w:rsidR="0086526F">
              <w:t>Holubic</w:t>
            </w:r>
            <w:r w:rsidR="00D74644">
              <w:t>e</w:t>
            </w:r>
            <w:r>
              <w:t xml:space="preserve"> nápravu ve stanovené lhůtě, podá v souladu s § 125 </w:t>
            </w:r>
            <w:r w:rsidR="0086526F">
              <w:br/>
            </w:r>
            <w:r>
              <w:t>odst. 3 zákona o obcích ředitel</w:t>
            </w:r>
            <w:r w:rsidR="00D74644">
              <w:t xml:space="preserve"> KrÚ</w:t>
            </w:r>
            <w:r>
              <w:t xml:space="preserve"> do 30 dnů ode dne uplynutí lhůty pro nápravu Ústavnímu soudu návrh</w:t>
            </w:r>
            <w:r w:rsidR="00473ED8">
              <w:t xml:space="preserve"> </w:t>
            </w:r>
            <w:r>
              <w:t xml:space="preserve">na zrušení nařízení </w:t>
            </w:r>
            <w:r w:rsidR="0086526F">
              <w:t>č. 1/2019</w:t>
            </w:r>
            <w:r>
              <w:t xml:space="preserve">. </w:t>
            </w:r>
          </w:p>
          <w:p w14:paraId="109D22C3" w14:textId="77777777" w:rsidR="00CA5E21" w:rsidRDefault="00CA5E21" w:rsidP="00993F3D">
            <w:pPr>
              <w:jc w:val="both"/>
            </w:pPr>
          </w:p>
          <w:p w14:paraId="3ACB842E" w14:textId="68DA0FCD" w:rsidR="0009620D" w:rsidRDefault="0009620D" w:rsidP="00993F3D">
            <w:pPr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t>K tomu K</w:t>
            </w:r>
            <w:r w:rsidR="00CA5E21">
              <w:t>rÚ</w:t>
            </w:r>
            <w:r>
              <w:t xml:space="preserve"> upozorňuje, že v souladu s § 125 odst. 4 zákona o obcích má příslušný orgán obce možnost dobrovolně zjednat nápravu až do okamžiku rozhodnutí Ústavního soudu o návrhu na zrušení nařízení obce.</w:t>
            </w:r>
          </w:p>
          <w:p w14:paraId="74CC194A" w14:textId="54F321F8" w:rsidR="0009620D" w:rsidRDefault="0009620D" w:rsidP="00597F29">
            <w:pPr>
              <w:pStyle w:val="Zkladntext"/>
              <w:spacing w:line="276" w:lineRule="auto"/>
              <w:ind w:left="851" w:hanging="851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5E2A500" w14:textId="0D3681A6" w:rsidR="0009620D" w:rsidRDefault="001F24A0" w:rsidP="00597F29">
            <w:pPr>
              <w:pStyle w:val="Zkladntext"/>
              <w:spacing w:line="276" w:lineRule="auto"/>
              <w:ind w:left="851" w:hanging="851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812ACC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652212AE" w14:textId="2D6132DB" w:rsidR="00597F29" w:rsidRDefault="00597F29" w:rsidP="00597F29"/>
          <w:p w14:paraId="6733910C" w14:textId="77777777" w:rsidR="00597F29" w:rsidRDefault="00000000" w:rsidP="00597F29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noProof/>
                <w:sz w:val="32"/>
                <w:szCs w:val="32"/>
              </w:rPr>
              <w:pict w14:anchorId="094DB95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margin-left:-1.25pt;margin-top:4.55pt;width:97.1pt;height:44.4pt;z-index:1">
                  <v:textbox style="mso-next-textbox:#_x0000_s2050">
                    <w:txbxContent>
                      <w:p w14:paraId="6E969F54" w14:textId="77777777" w:rsidR="007B18EC" w:rsidRDefault="007B18EC" w:rsidP="007B18EC">
                        <w:pPr>
                          <w:jc w:val="center"/>
                        </w:pPr>
                        <w:r>
                          <w:t>Otisk razítka</w:t>
                        </w:r>
                      </w:p>
                      <w:p w14:paraId="236B3B26" w14:textId="77777777" w:rsidR="007B18EC" w:rsidRDefault="007B18EC" w:rsidP="007B18EC"/>
                    </w:txbxContent>
                  </v:textbox>
                  <w10:wrap type="square"/>
                </v:shape>
              </w:pict>
            </w:r>
          </w:p>
          <w:p w14:paraId="40507285" w14:textId="77777777" w:rsidR="00597F29" w:rsidRDefault="00597F29" w:rsidP="00597F29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  <w:p w14:paraId="69462724" w14:textId="77777777" w:rsidR="00597F29" w:rsidRDefault="00597F29" w:rsidP="00597F29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  <w:p w14:paraId="43586D37" w14:textId="77777777" w:rsidR="00597F29" w:rsidRDefault="00597F29" w:rsidP="00597F29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  <w:p w14:paraId="3262A85B" w14:textId="77777777" w:rsidR="00A5781A" w:rsidRDefault="00A5781A" w:rsidP="00597F29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  <w:p w14:paraId="0DE16894" w14:textId="77777777" w:rsidR="00597F29" w:rsidRDefault="00597F29" w:rsidP="00597F29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JUDr. Roman Heinz, Ph.D.</w:t>
            </w:r>
          </w:p>
          <w:p w14:paraId="082C56FF" w14:textId="3F227974" w:rsidR="000A5A72" w:rsidRPr="00345A51" w:rsidRDefault="00731068" w:rsidP="00403799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ře</w:t>
            </w:r>
            <w:r w:rsidR="00597F29">
              <w:rPr>
                <w:rFonts w:eastAsia="Times New Roman" w:cs="Arial"/>
                <w:color w:val="000000"/>
                <w:lang w:eastAsia="cs-CZ"/>
              </w:rPr>
              <w:t>ditel</w:t>
            </w:r>
          </w:p>
        </w:tc>
      </w:tr>
    </w:tbl>
    <w:p w14:paraId="59AE2852" w14:textId="491F757E" w:rsidR="00AF236A" w:rsidRDefault="00AF236A" w:rsidP="009E39D7">
      <w:pPr>
        <w:spacing w:after="0"/>
        <w:jc w:val="both"/>
        <w:rPr>
          <w:rFonts w:eastAsia="Times New Roman" w:cs="Arial"/>
          <w:color w:val="000000"/>
          <w:lang w:eastAsia="cs-CZ"/>
        </w:rPr>
      </w:pPr>
    </w:p>
    <w:p w14:paraId="56EB49E0" w14:textId="1B7DEDD2" w:rsidR="00AD4552" w:rsidRDefault="00AD4552" w:rsidP="009E39D7">
      <w:pPr>
        <w:spacing w:after="0"/>
        <w:jc w:val="both"/>
        <w:rPr>
          <w:rFonts w:eastAsia="Times New Roman" w:cs="Arial"/>
          <w:color w:val="000000"/>
          <w:lang w:eastAsia="cs-CZ"/>
        </w:rPr>
      </w:pPr>
    </w:p>
    <w:sectPr w:rsidR="00AD4552" w:rsidSect="003A1F6C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E8BD8" w14:textId="77777777" w:rsidR="00A954EF" w:rsidRDefault="00A954EF" w:rsidP="003B5163">
      <w:pPr>
        <w:spacing w:after="0" w:line="240" w:lineRule="auto"/>
      </w:pPr>
      <w:r>
        <w:separator/>
      </w:r>
    </w:p>
  </w:endnote>
  <w:endnote w:type="continuationSeparator" w:id="0">
    <w:p w14:paraId="406280B6" w14:textId="77777777" w:rsidR="00A954EF" w:rsidRDefault="00A954EF" w:rsidP="003B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F2B92" w14:textId="77777777" w:rsidR="00C44CBD" w:rsidRPr="002B69F3" w:rsidRDefault="00C44CBD" w:rsidP="00D93B67">
    <w:pPr>
      <w:pStyle w:val="Zpat"/>
      <w:jc w:val="center"/>
    </w:pPr>
    <w:r w:rsidRPr="002B69F3">
      <w:fldChar w:fldCharType="begin"/>
    </w:r>
    <w:r w:rsidRPr="002B69F3">
      <w:instrText xml:space="preserve"> PAGE   \* MERGEFORMAT </w:instrText>
    </w:r>
    <w:r w:rsidRPr="002B69F3">
      <w:fldChar w:fldCharType="separate"/>
    </w:r>
    <w:r w:rsidR="0001001B">
      <w:rPr>
        <w:noProof/>
      </w:rPr>
      <w:t>4</w:t>
    </w:r>
    <w:r w:rsidRPr="002B69F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68" w:type="dxa"/>
      <w:jc w:val="center"/>
      <w:tblLook w:val="04A0" w:firstRow="1" w:lastRow="0" w:firstColumn="1" w:lastColumn="0" w:noHBand="0" w:noVBand="1"/>
    </w:tblPr>
    <w:tblGrid>
      <w:gridCol w:w="1209"/>
      <w:gridCol w:w="1210"/>
      <w:gridCol w:w="1209"/>
      <w:gridCol w:w="1210"/>
      <w:gridCol w:w="2475"/>
      <w:gridCol w:w="2255"/>
    </w:tblGrid>
    <w:tr w:rsidR="00C44CBD" w:rsidRPr="00D93B67" w14:paraId="1FEBC57D" w14:textId="77777777" w:rsidTr="00E50E00">
      <w:trPr>
        <w:jc w:val="center"/>
      </w:trPr>
      <w:tc>
        <w:tcPr>
          <w:tcW w:w="1209" w:type="dxa"/>
        </w:tcPr>
        <w:p w14:paraId="13D0DA92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IČ</w:t>
          </w:r>
        </w:p>
      </w:tc>
      <w:tc>
        <w:tcPr>
          <w:tcW w:w="1210" w:type="dxa"/>
        </w:tcPr>
        <w:p w14:paraId="4E5DCB03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DIČ</w:t>
          </w:r>
        </w:p>
      </w:tc>
      <w:tc>
        <w:tcPr>
          <w:tcW w:w="1209" w:type="dxa"/>
        </w:tcPr>
        <w:p w14:paraId="7F41FFDD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Telefon</w:t>
          </w:r>
        </w:p>
      </w:tc>
      <w:tc>
        <w:tcPr>
          <w:tcW w:w="1210" w:type="dxa"/>
        </w:tcPr>
        <w:p w14:paraId="2201AFF5" w14:textId="6226FF6F" w:rsidR="00C44CBD" w:rsidRPr="00D93B67" w:rsidRDefault="00944F55" w:rsidP="00287AA3">
          <w:pPr>
            <w:pStyle w:val="Zpat"/>
            <w:rPr>
              <w:sz w:val="18"/>
              <w:szCs w:val="18"/>
            </w:rPr>
          </w:pPr>
          <w:r>
            <w:rPr>
              <w:sz w:val="18"/>
              <w:szCs w:val="18"/>
            </w:rPr>
            <w:t>DS</w:t>
          </w:r>
        </w:p>
      </w:tc>
      <w:tc>
        <w:tcPr>
          <w:tcW w:w="2475" w:type="dxa"/>
        </w:tcPr>
        <w:p w14:paraId="35C8086C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E-mail</w:t>
          </w:r>
        </w:p>
      </w:tc>
      <w:tc>
        <w:tcPr>
          <w:tcW w:w="2255" w:type="dxa"/>
        </w:tcPr>
        <w:p w14:paraId="55F7D679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Internet</w:t>
          </w:r>
        </w:p>
      </w:tc>
    </w:tr>
    <w:tr w:rsidR="00C44CBD" w:rsidRPr="00D93B67" w14:paraId="0629BF26" w14:textId="77777777" w:rsidTr="00E50E00">
      <w:trPr>
        <w:jc w:val="center"/>
      </w:trPr>
      <w:tc>
        <w:tcPr>
          <w:tcW w:w="1209" w:type="dxa"/>
        </w:tcPr>
        <w:p w14:paraId="3304049C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708 88 337</w:t>
          </w:r>
        </w:p>
      </w:tc>
      <w:tc>
        <w:tcPr>
          <w:tcW w:w="1210" w:type="dxa"/>
        </w:tcPr>
        <w:p w14:paraId="3C3190FD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CZ70888337</w:t>
          </w:r>
        </w:p>
      </w:tc>
      <w:tc>
        <w:tcPr>
          <w:tcW w:w="1209" w:type="dxa"/>
        </w:tcPr>
        <w:p w14:paraId="54941C37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541 651 111</w:t>
          </w:r>
        </w:p>
      </w:tc>
      <w:tc>
        <w:tcPr>
          <w:tcW w:w="1210" w:type="dxa"/>
        </w:tcPr>
        <w:p w14:paraId="510B4FCF" w14:textId="6A54C58F" w:rsidR="00C44CBD" w:rsidRPr="00D93B67" w:rsidRDefault="009B75C8" w:rsidP="00287AA3">
          <w:pPr>
            <w:pStyle w:val="Zpat"/>
            <w:rPr>
              <w:sz w:val="18"/>
              <w:szCs w:val="18"/>
            </w:rPr>
          </w:pPr>
          <w:r>
            <w:rPr>
              <w:sz w:val="18"/>
              <w:szCs w:val="18"/>
            </w:rPr>
            <w:t>x</w:t>
          </w:r>
          <w:r w:rsidR="00E70ED9">
            <w:rPr>
              <w:sz w:val="18"/>
              <w:szCs w:val="18"/>
            </w:rPr>
            <w:t>2pbqzq</w:t>
          </w:r>
        </w:p>
      </w:tc>
      <w:tc>
        <w:tcPr>
          <w:tcW w:w="2475" w:type="dxa"/>
        </w:tcPr>
        <w:p w14:paraId="3A018C45" w14:textId="15CC32CF" w:rsidR="00C44CBD" w:rsidRPr="00D93B67" w:rsidRDefault="00000000" w:rsidP="00287AA3">
          <w:pPr>
            <w:pStyle w:val="Zpat"/>
            <w:rPr>
              <w:sz w:val="18"/>
              <w:szCs w:val="18"/>
            </w:rPr>
          </w:pPr>
          <w:hyperlink r:id="rId1" w:history="1">
            <w:r w:rsidR="00C72C7B" w:rsidRPr="006B693B">
              <w:rPr>
                <w:rStyle w:val="Hypertextovodkaz"/>
                <w:sz w:val="18"/>
                <w:szCs w:val="18"/>
              </w:rPr>
              <w:t>posta@jmk.cz</w:t>
            </w:r>
          </w:hyperlink>
          <w:r w:rsidR="00C44CBD" w:rsidRPr="00D93B67">
            <w:rPr>
              <w:sz w:val="18"/>
              <w:szCs w:val="18"/>
            </w:rPr>
            <w:t xml:space="preserve"> </w:t>
          </w:r>
        </w:p>
      </w:tc>
      <w:tc>
        <w:tcPr>
          <w:tcW w:w="2255" w:type="dxa"/>
        </w:tcPr>
        <w:p w14:paraId="686F0543" w14:textId="4B73C244" w:rsidR="00C44CBD" w:rsidRPr="00D93B67" w:rsidRDefault="00000000" w:rsidP="00287AA3">
          <w:pPr>
            <w:pStyle w:val="Zpat"/>
            <w:rPr>
              <w:sz w:val="18"/>
              <w:szCs w:val="18"/>
            </w:rPr>
          </w:pPr>
          <w:hyperlink r:id="rId2" w:history="1">
            <w:r w:rsidR="00C72C7B" w:rsidRPr="006B693B">
              <w:rPr>
                <w:rStyle w:val="Hypertextovodkaz"/>
                <w:sz w:val="18"/>
                <w:szCs w:val="18"/>
              </w:rPr>
              <w:t>www.jmk.cz</w:t>
            </w:r>
          </w:hyperlink>
          <w:r w:rsidR="00C44CBD" w:rsidRPr="00D93B67">
            <w:rPr>
              <w:sz w:val="18"/>
              <w:szCs w:val="18"/>
            </w:rPr>
            <w:t xml:space="preserve"> </w:t>
          </w:r>
        </w:p>
      </w:tc>
    </w:tr>
  </w:tbl>
  <w:p w14:paraId="0A96C630" w14:textId="77777777" w:rsidR="00C44CBD" w:rsidRPr="004F5703" w:rsidRDefault="00C44CBD" w:rsidP="009A733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614FE" w14:textId="77777777" w:rsidR="00A954EF" w:rsidRDefault="00A954EF" w:rsidP="003B5163">
      <w:pPr>
        <w:spacing w:after="0" w:line="240" w:lineRule="auto"/>
      </w:pPr>
      <w:r>
        <w:separator/>
      </w:r>
    </w:p>
  </w:footnote>
  <w:footnote w:type="continuationSeparator" w:id="0">
    <w:p w14:paraId="7EED7241" w14:textId="77777777" w:rsidR="00A954EF" w:rsidRDefault="00A954EF" w:rsidP="003B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4" w:type="dxa"/>
      <w:jc w:val="center"/>
      <w:tblLook w:val="04A0" w:firstRow="1" w:lastRow="0" w:firstColumn="1" w:lastColumn="0" w:noHBand="0" w:noVBand="1"/>
    </w:tblPr>
    <w:tblGrid>
      <w:gridCol w:w="7331"/>
      <w:gridCol w:w="2453"/>
    </w:tblGrid>
    <w:tr w:rsidR="00C44CBD" w:rsidRPr="00D93B67" w14:paraId="4CAAC8F5" w14:textId="77777777" w:rsidTr="00E61EE3">
      <w:trPr>
        <w:trHeight w:val="1612"/>
        <w:jc w:val="center"/>
      </w:trPr>
      <w:tc>
        <w:tcPr>
          <w:tcW w:w="7331" w:type="dxa"/>
          <w:vAlign w:val="center"/>
        </w:tcPr>
        <w:p w14:paraId="38EED519" w14:textId="77777777" w:rsidR="007C3CD9" w:rsidRPr="0076304E" w:rsidRDefault="007C3CD9" w:rsidP="007C3CD9">
          <w:pPr>
            <w:spacing w:after="0" w:line="240" w:lineRule="auto"/>
            <w:rPr>
              <w:b/>
              <w:caps/>
              <w:sz w:val="36"/>
              <w:szCs w:val="36"/>
            </w:rPr>
          </w:pPr>
          <w:r w:rsidRPr="0076304E">
            <w:rPr>
              <w:b/>
              <w:caps/>
              <w:sz w:val="36"/>
              <w:szCs w:val="36"/>
            </w:rPr>
            <w:t>Krajský úřad Jih</w:t>
          </w:r>
          <w:smartTag w:uri="urn:schemas-microsoft-com:office:smarttags" w:element="PersonName">
            <w:r w:rsidRPr="0076304E">
              <w:rPr>
                <w:b/>
                <w:caps/>
                <w:sz w:val="36"/>
                <w:szCs w:val="36"/>
              </w:rPr>
              <w:t>om</w:t>
            </w:r>
          </w:smartTag>
          <w:r w:rsidRPr="0076304E">
            <w:rPr>
              <w:b/>
              <w:caps/>
              <w:sz w:val="36"/>
              <w:szCs w:val="36"/>
            </w:rPr>
            <w:t>oravského kraje</w:t>
          </w:r>
        </w:p>
        <w:p w14:paraId="3D7203AA" w14:textId="77777777" w:rsidR="00C44CBD" w:rsidRPr="00D93B67" w:rsidRDefault="007C3CD9" w:rsidP="00B03DC7">
          <w:pPr>
            <w:spacing w:after="0" w:line="240" w:lineRule="auto"/>
          </w:pPr>
          <w:r w:rsidRPr="00D93B67">
            <w:rPr>
              <w:b/>
              <w:sz w:val="28"/>
              <w:szCs w:val="28"/>
            </w:rPr>
            <w:t>Žerotínovo nám</w:t>
          </w:r>
          <w:r w:rsidR="00B03DC7">
            <w:rPr>
              <w:b/>
              <w:sz w:val="28"/>
              <w:szCs w:val="28"/>
            </w:rPr>
            <w:t>ěstí</w:t>
          </w:r>
          <w:r w:rsidRPr="00D93B67">
            <w:rPr>
              <w:b/>
              <w:sz w:val="28"/>
              <w:szCs w:val="28"/>
            </w:rPr>
            <w:t xml:space="preserve"> 3, 601 82 Brno</w:t>
          </w:r>
        </w:p>
      </w:tc>
      <w:tc>
        <w:tcPr>
          <w:tcW w:w="2453" w:type="dxa"/>
          <w:vAlign w:val="center"/>
        </w:tcPr>
        <w:p w14:paraId="5A035398" w14:textId="77777777" w:rsidR="00C44CBD" w:rsidRPr="00D93B67" w:rsidRDefault="00C44CBD" w:rsidP="00D93B67">
          <w:pPr>
            <w:spacing w:after="0" w:line="240" w:lineRule="auto"/>
          </w:pPr>
        </w:p>
      </w:tc>
    </w:tr>
    <w:tr w:rsidR="00C44CBD" w:rsidRPr="00D93B67" w14:paraId="01BF9E55" w14:textId="77777777" w:rsidTr="00E61EE3">
      <w:trPr>
        <w:trHeight w:val="80"/>
        <w:jc w:val="center"/>
      </w:trPr>
      <w:tc>
        <w:tcPr>
          <w:tcW w:w="7331" w:type="dxa"/>
          <w:tcBorders>
            <w:bottom w:val="single" w:sz="4" w:space="0" w:color="auto"/>
          </w:tcBorders>
        </w:tcPr>
        <w:p w14:paraId="4EEC3792" w14:textId="77777777" w:rsidR="00C44CBD" w:rsidRPr="00D93B67" w:rsidRDefault="00C44CBD" w:rsidP="00D93B67">
          <w:pPr>
            <w:spacing w:after="0" w:line="240" w:lineRule="auto"/>
            <w:rPr>
              <w:sz w:val="16"/>
              <w:szCs w:val="16"/>
            </w:rPr>
          </w:pPr>
        </w:p>
      </w:tc>
      <w:tc>
        <w:tcPr>
          <w:tcW w:w="2453" w:type="dxa"/>
          <w:tcBorders>
            <w:bottom w:val="single" w:sz="4" w:space="0" w:color="auto"/>
          </w:tcBorders>
        </w:tcPr>
        <w:p w14:paraId="571CAA57" w14:textId="77777777" w:rsidR="00C44CBD" w:rsidRPr="00D93B67" w:rsidRDefault="00C44CBD" w:rsidP="00D93B67">
          <w:pPr>
            <w:spacing w:after="0" w:line="240" w:lineRule="auto"/>
            <w:rPr>
              <w:sz w:val="16"/>
              <w:szCs w:val="16"/>
            </w:rPr>
          </w:pPr>
        </w:p>
      </w:tc>
    </w:tr>
  </w:tbl>
  <w:p w14:paraId="2F29C460" w14:textId="77777777" w:rsidR="00C44CBD" w:rsidRDefault="00C44CBD" w:rsidP="00C235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6686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B4E8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AEC7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A0B5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88BD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232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AAC9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C817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D23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FEC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97992"/>
    <w:multiLevelType w:val="hybridMultilevel"/>
    <w:tmpl w:val="56F681E6"/>
    <w:lvl w:ilvl="0" w:tplc="E8A8F374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E04A7E"/>
    <w:multiLevelType w:val="hybridMultilevel"/>
    <w:tmpl w:val="E584A680"/>
    <w:lvl w:ilvl="0" w:tplc="1F6853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811FCE"/>
    <w:multiLevelType w:val="hybridMultilevel"/>
    <w:tmpl w:val="357E9712"/>
    <w:lvl w:ilvl="0" w:tplc="2188E90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30441A"/>
    <w:multiLevelType w:val="hybridMultilevel"/>
    <w:tmpl w:val="88409D80"/>
    <w:lvl w:ilvl="0" w:tplc="D2E88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2600C0"/>
    <w:multiLevelType w:val="hybridMultilevel"/>
    <w:tmpl w:val="8954E972"/>
    <w:lvl w:ilvl="0" w:tplc="68AE509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27D79"/>
    <w:multiLevelType w:val="hybridMultilevel"/>
    <w:tmpl w:val="F4A4020E"/>
    <w:lvl w:ilvl="0" w:tplc="F5DEDB70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0043A"/>
    <w:multiLevelType w:val="hybridMultilevel"/>
    <w:tmpl w:val="44FCDE52"/>
    <w:lvl w:ilvl="0" w:tplc="046279E8">
      <w:start w:val="69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F14F42"/>
    <w:multiLevelType w:val="hybridMultilevel"/>
    <w:tmpl w:val="B874EA4E"/>
    <w:lvl w:ilvl="0" w:tplc="3EF22D8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53865"/>
    <w:multiLevelType w:val="hybridMultilevel"/>
    <w:tmpl w:val="5972DC30"/>
    <w:lvl w:ilvl="0" w:tplc="1E087582">
      <w:numFmt w:val="bullet"/>
      <w:lvlText w:val="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CC0FC0"/>
    <w:multiLevelType w:val="hybridMultilevel"/>
    <w:tmpl w:val="B15E0C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21552"/>
    <w:multiLevelType w:val="hybridMultilevel"/>
    <w:tmpl w:val="44E465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435813">
    <w:abstractNumId w:val="8"/>
  </w:num>
  <w:num w:numId="2" w16cid:durableId="1586845279">
    <w:abstractNumId w:val="3"/>
  </w:num>
  <w:num w:numId="3" w16cid:durableId="333269585">
    <w:abstractNumId w:val="2"/>
  </w:num>
  <w:num w:numId="4" w16cid:durableId="276258236">
    <w:abstractNumId w:val="1"/>
  </w:num>
  <w:num w:numId="5" w16cid:durableId="900671226">
    <w:abstractNumId w:val="0"/>
  </w:num>
  <w:num w:numId="6" w16cid:durableId="1443915299">
    <w:abstractNumId w:val="9"/>
  </w:num>
  <w:num w:numId="7" w16cid:durableId="1816220503">
    <w:abstractNumId w:val="7"/>
  </w:num>
  <w:num w:numId="8" w16cid:durableId="1426994935">
    <w:abstractNumId w:val="6"/>
  </w:num>
  <w:num w:numId="9" w16cid:durableId="238712734">
    <w:abstractNumId w:val="5"/>
  </w:num>
  <w:num w:numId="10" w16cid:durableId="2001736358">
    <w:abstractNumId w:val="4"/>
  </w:num>
  <w:num w:numId="11" w16cid:durableId="14136252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465135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1541315">
    <w:abstractNumId w:val="11"/>
  </w:num>
  <w:num w:numId="14" w16cid:durableId="125174197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5322263">
    <w:abstractNumId w:val="18"/>
  </w:num>
  <w:num w:numId="16" w16cid:durableId="41825689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9981554">
    <w:abstractNumId w:val="15"/>
  </w:num>
  <w:num w:numId="18" w16cid:durableId="122710514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344431226">
    <w:abstractNumId w:val="17"/>
  </w:num>
  <w:num w:numId="20" w16cid:durableId="1698003325">
    <w:abstractNumId w:val="14"/>
  </w:num>
  <w:num w:numId="21" w16cid:durableId="2413332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5163"/>
    <w:rsid w:val="000003E5"/>
    <w:rsid w:val="0001001B"/>
    <w:rsid w:val="00011FAE"/>
    <w:rsid w:val="00012BAC"/>
    <w:rsid w:val="00014A2D"/>
    <w:rsid w:val="000157B8"/>
    <w:rsid w:val="00015F44"/>
    <w:rsid w:val="00017B76"/>
    <w:rsid w:val="000249A7"/>
    <w:rsid w:val="000264CB"/>
    <w:rsid w:val="0002704A"/>
    <w:rsid w:val="00031C1E"/>
    <w:rsid w:val="00034CFE"/>
    <w:rsid w:val="0003587E"/>
    <w:rsid w:val="00043B91"/>
    <w:rsid w:val="0004661D"/>
    <w:rsid w:val="00046727"/>
    <w:rsid w:val="000474F7"/>
    <w:rsid w:val="00051A30"/>
    <w:rsid w:val="00052273"/>
    <w:rsid w:val="00052538"/>
    <w:rsid w:val="00054306"/>
    <w:rsid w:val="000570D5"/>
    <w:rsid w:val="000575EE"/>
    <w:rsid w:val="00061CE7"/>
    <w:rsid w:val="000622A8"/>
    <w:rsid w:val="00062A09"/>
    <w:rsid w:val="00064758"/>
    <w:rsid w:val="00064F19"/>
    <w:rsid w:val="00066BB9"/>
    <w:rsid w:val="00067671"/>
    <w:rsid w:val="00067D01"/>
    <w:rsid w:val="00071133"/>
    <w:rsid w:val="000730AA"/>
    <w:rsid w:val="000740C1"/>
    <w:rsid w:val="00075675"/>
    <w:rsid w:val="00076D42"/>
    <w:rsid w:val="00081A44"/>
    <w:rsid w:val="0008228E"/>
    <w:rsid w:val="000828E2"/>
    <w:rsid w:val="00085264"/>
    <w:rsid w:val="000875A3"/>
    <w:rsid w:val="00090242"/>
    <w:rsid w:val="00090FFA"/>
    <w:rsid w:val="00091ACD"/>
    <w:rsid w:val="0009266C"/>
    <w:rsid w:val="000946F0"/>
    <w:rsid w:val="0009620D"/>
    <w:rsid w:val="00097300"/>
    <w:rsid w:val="000978FA"/>
    <w:rsid w:val="00097F56"/>
    <w:rsid w:val="000A3DD2"/>
    <w:rsid w:val="000A5A72"/>
    <w:rsid w:val="000B23E3"/>
    <w:rsid w:val="000B2ABF"/>
    <w:rsid w:val="000B2E81"/>
    <w:rsid w:val="000B406B"/>
    <w:rsid w:val="000B7335"/>
    <w:rsid w:val="000C0894"/>
    <w:rsid w:val="000C1780"/>
    <w:rsid w:val="000C2DE5"/>
    <w:rsid w:val="000C4BE0"/>
    <w:rsid w:val="000C7265"/>
    <w:rsid w:val="000E52CA"/>
    <w:rsid w:val="000E5A11"/>
    <w:rsid w:val="000E69BF"/>
    <w:rsid w:val="000F0811"/>
    <w:rsid w:val="000F3D64"/>
    <w:rsid w:val="000F4C14"/>
    <w:rsid w:val="000F6D43"/>
    <w:rsid w:val="000F7665"/>
    <w:rsid w:val="00100315"/>
    <w:rsid w:val="001006E5"/>
    <w:rsid w:val="001046D4"/>
    <w:rsid w:val="001069BD"/>
    <w:rsid w:val="001106E4"/>
    <w:rsid w:val="001112A9"/>
    <w:rsid w:val="0011141F"/>
    <w:rsid w:val="0011264D"/>
    <w:rsid w:val="0012524A"/>
    <w:rsid w:val="00126F6E"/>
    <w:rsid w:val="0012728E"/>
    <w:rsid w:val="00127EB6"/>
    <w:rsid w:val="00127FB2"/>
    <w:rsid w:val="00135A24"/>
    <w:rsid w:val="00136900"/>
    <w:rsid w:val="00140391"/>
    <w:rsid w:val="00142C04"/>
    <w:rsid w:val="00144F96"/>
    <w:rsid w:val="0014515E"/>
    <w:rsid w:val="001460B3"/>
    <w:rsid w:val="001541F6"/>
    <w:rsid w:val="0016369B"/>
    <w:rsid w:val="00163C90"/>
    <w:rsid w:val="00164D28"/>
    <w:rsid w:val="00166892"/>
    <w:rsid w:val="00166B49"/>
    <w:rsid w:val="0017345D"/>
    <w:rsid w:val="00173C0A"/>
    <w:rsid w:val="00180B55"/>
    <w:rsid w:val="0018267D"/>
    <w:rsid w:val="00183102"/>
    <w:rsid w:val="0018344E"/>
    <w:rsid w:val="001838B3"/>
    <w:rsid w:val="001858E6"/>
    <w:rsid w:val="001876FF"/>
    <w:rsid w:val="00187A7A"/>
    <w:rsid w:val="001901CE"/>
    <w:rsid w:val="001944D1"/>
    <w:rsid w:val="00196D7A"/>
    <w:rsid w:val="001A441D"/>
    <w:rsid w:val="001B21B4"/>
    <w:rsid w:val="001C16C6"/>
    <w:rsid w:val="001C19D8"/>
    <w:rsid w:val="001C3F44"/>
    <w:rsid w:val="001C4566"/>
    <w:rsid w:val="001D0D88"/>
    <w:rsid w:val="001D6A65"/>
    <w:rsid w:val="001D7BDC"/>
    <w:rsid w:val="001D7E03"/>
    <w:rsid w:val="001E03F1"/>
    <w:rsid w:val="001E16EB"/>
    <w:rsid w:val="001F24A0"/>
    <w:rsid w:val="001F3073"/>
    <w:rsid w:val="001F3954"/>
    <w:rsid w:val="002018D8"/>
    <w:rsid w:val="00202B06"/>
    <w:rsid w:val="002054E0"/>
    <w:rsid w:val="00207BA3"/>
    <w:rsid w:val="00211829"/>
    <w:rsid w:val="002118F8"/>
    <w:rsid w:val="00214D0D"/>
    <w:rsid w:val="0021539B"/>
    <w:rsid w:val="002164EE"/>
    <w:rsid w:val="00217847"/>
    <w:rsid w:val="002209D9"/>
    <w:rsid w:val="00222E94"/>
    <w:rsid w:val="002238BB"/>
    <w:rsid w:val="0022755D"/>
    <w:rsid w:val="002277A4"/>
    <w:rsid w:val="002307D1"/>
    <w:rsid w:val="00232125"/>
    <w:rsid w:val="00237CDD"/>
    <w:rsid w:val="0024128C"/>
    <w:rsid w:val="00242FCF"/>
    <w:rsid w:val="00243074"/>
    <w:rsid w:val="002431E7"/>
    <w:rsid w:val="00244CC3"/>
    <w:rsid w:val="0024583A"/>
    <w:rsid w:val="0024618C"/>
    <w:rsid w:val="002473B0"/>
    <w:rsid w:val="002525FE"/>
    <w:rsid w:val="00253B7E"/>
    <w:rsid w:val="00255435"/>
    <w:rsid w:val="002557DC"/>
    <w:rsid w:val="0026068E"/>
    <w:rsid w:val="00261677"/>
    <w:rsid w:val="00262963"/>
    <w:rsid w:val="002646C4"/>
    <w:rsid w:val="00264B6D"/>
    <w:rsid w:val="0026536D"/>
    <w:rsid w:val="00270795"/>
    <w:rsid w:val="0027413F"/>
    <w:rsid w:val="00274745"/>
    <w:rsid w:val="00283BA4"/>
    <w:rsid w:val="00287AA3"/>
    <w:rsid w:val="002979BF"/>
    <w:rsid w:val="002A0B6A"/>
    <w:rsid w:val="002A2A1C"/>
    <w:rsid w:val="002A3A89"/>
    <w:rsid w:val="002A51ED"/>
    <w:rsid w:val="002A609C"/>
    <w:rsid w:val="002B0ADD"/>
    <w:rsid w:val="002B3066"/>
    <w:rsid w:val="002B4D5A"/>
    <w:rsid w:val="002B5513"/>
    <w:rsid w:val="002B69F3"/>
    <w:rsid w:val="002C2491"/>
    <w:rsid w:val="002C29C4"/>
    <w:rsid w:val="002C3C61"/>
    <w:rsid w:val="002C4B68"/>
    <w:rsid w:val="002C52E6"/>
    <w:rsid w:val="002C5D3D"/>
    <w:rsid w:val="002C5F02"/>
    <w:rsid w:val="002C77BB"/>
    <w:rsid w:val="002D1D7B"/>
    <w:rsid w:val="002D2A65"/>
    <w:rsid w:val="002D62E9"/>
    <w:rsid w:val="002D6891"/>
    <w:rsid w:val="002E4085"/>
    <w:rsid w:val="002E5D67"/>
    <w:rsid w:val="002E660B"/>
    <w:rsid w:val="002E6D73"/>
    <w:rsid w:val="002E7505"/>
    <w:rsid w:val="002F065F"/>
    <w:rsid w:val="002F1D18"/>
    <w:rsid w:val="002F2D8E"/>
    <w:rsid w:val="002F3FA1"/>
    <w:rsid w:val="002F7BA0"/>
    <w:rsid w:val="00300EC7"/>
    <w:rsid w:val="00311225"/>
    <w:rsid w:val="00311D45"/>
    <w:rsid w:val="0031202D"/>
    <w:rsid w:val="00313EB0"/>
    <w:rsid w:val="003148EA"/>
    <w:rsid w:val="00315AFF"/>
    <w:rsid w:val="00315E89"/>
    <w:rsid w:val="00315FEA"/>
    <w:rsid w:val="003257AD"/>
    <w:rsid w:val="0032593E"/>
    <w:rsid w:val="00326151"/>
    <w:rsid w:val="00330599"/>
    <w:rsid w:val="00331C55"/>
    <w:rsid w:val="00331ECD"/>
    <w:rsid w:val="003352EE"/>
    <w:rsid w:val="00336A49"/>
    <w:rsid w:val="00337606"/>
    <w:rsid w:val="00342FFF"/>
    <w:rsid w:val="00344576"/>
    <w:rsid w:val="00345A51"/>
    <w:rsid w:val="0035510B"/>
    <w:rsid w:val="0036359E"/>
    <w:rsid w:val="003637ED"/>
    <w:rsid w:val="00367B23"/>
    <w:rsid w:val="00370782"/>
    <w:rsid w:val="0037082A"/>
    <w:rsid w:val="0037246C"/>
    <w:rsid w:val="00372A8F"/>
    <w:rsid w:val="00372F88"/>
    <w:rsid w:val="00374BB1"/>
    <w:rsid w:val="00377805"/>
    <w:rsid w:val="00380573"/>
    <w:rsid w:val="0038156D"/>
    <w:rsid w:val="00394995"/>
    <w:rsid w:val="00394D21"/>
    <w:rsid w:val="003A1D92"/>
    <w:rsid w:val="003A1F6C"/>
    <w:rsid w:val="003A33AC"/>
    <w:rsid w:val="003B0A6E"/>
    <w:rsid w:val="003B5163"/>
    <w:rsid w:val="003B587C"/>
    <w:rsid w:val="003C3181"/>
    <w:rsid w:val="003C52A1"/>
    <w:rsid w:val="003D3B1A"/>
    <w:rsid w:val="003D5B97"/>
    <w:rsid w:val="003E307A"/>
    <w:rsid w:val="003E3270"/>
    <w:rsid w:val="003E6AA6"/>
    <w:rsid w:val="003F4CAD"/>
    <w:rsid w:val="003F59E7"/>
    <w:rsid w:val="003F5E29"/>
    <w:rsid w:val="0040294F"/>
    <w:rsid w:val="00403449"/>
    <w:rsid w:val="00403799"/>
    <w:rsid w:val="00406543"/>
    <w:rsid w:val="004102A9"/>
    <w:rsid w:val="004102C3"/>
    <w:rsid w:val="00411F6B"/>
    <w:rsid w:val="00413237"/>
    <w:rsid w:val="0041666D"/>
    <w:rsid w:val="0042113B"/>
    <w:rsid w:val="00423226"/>
    <w:rsid w:val="00424A4C"/>
    <w:rsid w:val="00424B59"/>
    <w:rsid w:val="00424F83"/>
    <w:rsid w:val="00426853"/>
    <w:rsid w:val="0042753C"/>
    <w:rsid w:val="00440920"/>
    <w:rsid w:val="0044464C"/>
    <w:rsid w:val="004501D6"/>
    <w:rsid w:val="00451360"/>
    <w:rsid w:val="0045257D"/>
    <w:rsid w:val="00452915"/>
    <w:rsid w:val="00453F0F"/>
    <w:rsid w:val="00454D5B"/>
    <w:rsid w:val="004556C9"/>
    <w:rsid w:val="004638BB"/>
    <w:rsid w:val="004668BA"/>
    <w:rsid w:val="00472ADF"/>
    <w:rsid w:val="00472E51"/>
    <w:rsid w:val="00473326"/>
    <w:rsid w:val="00473ED8"/>
    <w:rsid w:val="00474D99"/>
    <w:rsid w:val="004763DF"/>
    <w:rsid w:val="004808E2"/>
    <w:rsid w:val="00482F6A"/>
    <w:rsid w:val="00484077"/>
    <w:rsid w:val="004857DD"/>
    <w:rsid w:val="004943AD"/>
    <w:rsid w:val="0049466F"/>
    <w:rsid w:val="00495E66"/>
    <w:rsid w:val="004A0E8D"/>
    <w:rsid w:val="004B029F"/>
    <w:rsid w:val="004B03A8"/>
    <w:rsid w:val="004B3199"/>
    <w:rsid w:val="004B460E"/>
    <w:rsid w:val="004B6F04"/>
    <w:rsid w:val="004C1EAA"/>
    <w:rsid w:val="004C4996"/>
    <w:rsid w:val="004C5D89"/>
    <w:rsid w:val="004D3D3B"/>
    <w:rsid w:val="004D5716"/>
    <w:rsid w:val="004D6D2D"/>
    <w:rsid w:val="004E0236"/>
    <w:rsid w:val="004E0F39"/>
    <w:rsid w:val="004E3639"/>
    <w:rsid w:val="004E5B62"/>
    <w:rsid w:val="004F3DE4"/>
    <w:rsid w:val="004F5703"/>
    <w:rsid w:val="004F6939"/>
    <w:rsid w:val="004F7F3A"/>
    <w:rsid w:val="005009B8"/>
    <w:rsid w:val="00501A02"/>
    <w:rsid w:val="00504405"/>
    <w:rsid w:val="00510337"/>
    <w:rsid w:val="005108E4"/>
    <w:rsid w:val="00512998"/>
    <w:rsid w:val="00514C01"/>
    <w:rsid w:val="0051664C"/>
    <w:rsid w:val="00520B75"/>
    <w:rsid w:val="00523FC1"/>
    <w:rsid w:val="005341EA"/>
    <w:rsid w:val="00535C05"/>
    <w:rsid w:val="00537495"/>
    <w:rsid w:val="005376C2"/>
    <w:rsid w:val="0054151E"/>
    <w:rsid w:val="00541B58"/>
    <w:rsid w:val="00542948"/>
    <w:rsid w:val="00543B00"/>
    <w:rsid w:val="00544993"/>
    <w:rsid w:val="00546352"/>
    <w:rsid w:val="005541A5"/>
    <w:rsid w:val="005560B4"/>
    <w:rsid w:val="0055782C"/>
    <w:rsid w:val="00561EE1"/>
    <w:rsid w:val="005630DD"/>
    <w:rsid w:val="005634A6"/>
    <w:rsid w:val="005711EA"/>
    <w:rsid w:val="005727BE"/>
    <w:rsid w:val="00580A9A"/>
    <w:rsid w:val="00580BB1"/>
    <w:rsid w:val="00581FFC"/>
    <w:rsid w:val="00582DA3"/>
    <w:rsid w:val="0058375E"/>
    <w:rsid w:val="00584029"/>
    <w:rsid w:val="0058588D"/>
    <w:rsid w:val="0059020D"/>
    <w:rsid w:val="00590327"/>
    <w:rsid w:val="0059462A"/>
    <w:rsid w:val="00596975"/>
    <w:rsid w:val="00597F29"/>
    <w:rsid w:val="005A1895"/>
    <w:rsid w:val="005A2EB2"/>
    <w:rsid w:val="005A6A60"/>
    <w:rsid w:val="005B0155"/>
    <w:rsid w:val="005B0442"/>
    <w:rsid w:val="005B298B"/>
    <w:rsid w:val="005B597F"/>
    <w:rsid w:val="005B5E87"/>
    <w:rsid w:val="005B6442"/>
    <w:rsid w:val="005B7979"/>
    <w:rsid w:val="005B7CC5"/>
    <w:rsid w:val="005C0BB9"/>
    <w:rsid w:val="005C3A04"/>
    <w:rsid w:val="005C4AAD"/>
    <w:rsid w:val="005D0ED8"/>
    <w:rsid w:val="005D2351"/>
    <w:rsid w:val="005D4369"/>
    <w:rsid w:val="005E0C8F"/>
    <w:rsid w:val="005E402A"/>
    <w:rsid w:val="005F2F40"/>
    <w:rsid w:val="005F3319"/>
    <w:rsid w:val="005F43B2"/>
    <w:rsid w:val="005F7458"/>
    <w:rsid w:val="0060042F"/>
    <w:rsid w:val="006020DF"/>
    <w:rsid w:val="006030CD"/>
    <w:rsid w:val="00603B1E"/>
    <w:rsid w:val="00613C27"/>
    <w:rsid w:val="0062046F"/>
    <w:rsid w:val="00623F5E"/>
    <w:rsid w:val="006249A2"/>
    <w:rsid w:val="00625C31"/>
    <w:rsid w:val="0063059A"/>
    <w:rsid w:val="0063092F"/>
    <w:rsid w:val="00633CF3"/>
    <w:rsid w:val="006420F7"/>
    <w:rsid w:val="00643F3D"/>
    <w:rsid w:val="006508A9"/>
    <w:rsid w:val="0065425F"/>
    <w:rsid w:val="00662CA8"/>
    <w:rsid w:val="0066320C"/>
    <w:rsid w:val="00664EA6"/>
    <w:rsid w:val="00665A47"/>
    <w:rsid w:val="00667458"/>
    <w:rsid w:val="00671768"/>
    <w:rsid w:val="00674997"/>
    <w:rsid w:val="00677347"/>
    <w:rsid w:val="00677683"/>
    <w:rsid w:val="00684117"/>
    <w:rsid w:val="0068611F"/>
    <w:rsid w:val="00686E31"/>
    <w:rsid w:val="0068700E"/>
    <w:rsid w:val="00692D76"/>
    <w:rsid w:val="00693D82"/>
    <w:rsid w:val="00694439"/>
    <w:rsid w:val="00694C65"/>
    <w:rsid w:val="00697699"/>
    <w:rsid w:val="006A11D6"/>
    <w:rsid w:val="006A2AD9"/>
    <w:rsid w:val="006A2C84"/>
    <w:rsid w:val="006A3E84"/>
    <w:rsid w:val="006A7F5A"/>
    <w:rsid w:val="006B0A21"/>
    <w:rsid w:val="006B1BBE"/>
    <w:rsid w:val="006B312E"/>
    <w:rsid w:val="006B4EF7"/>
    <w:rsid w:val="006B68D9"/>
    <w:rsid w:val="006B6F21"/>
    <w:rsid w:val="006C18D4"/>
    <w:rsid w:val="006C27A5"/>
    <w:rsid w:val="006C2845"/>
    <w:rsid w:val="006C3B5F"/>
    <w:rsid w:val="006C6950"/>
    <w:rsid w:val="006D047B"/>
    <w:rsid w:val="006D22D6"/>
    <w:rsid w:val="006D3C18"/>
    <w:rsid w:val="006D593A"/>
    <w:rsid w:val="006E1B88"/>
    <w:rsid w:val="006E4728"/>
    <w:rsid w:val="006F1293"/>
    <w:rsid w:val="006F3ED0"/>
    <w:rsid w:val="006F4637"/>
    <w:rsid w:val="006F4E1B"/>
    <w:rsid w:val="006F68B8"/>
    <w:rsid w:val="0070169A"/>
    <w:rsid w:val="00706850"/>
    <w:rsid w:val="00707729"/>
    <w:rsid w:val="00711178"/>
    <w:rsid w:val="0071639B"/>
    <w:rsid w:val="00723B19"/>
    <w:rsid w:val="00723C41"/>
    <w:rsid w:val="00725F15"/>
    <w:rsid w:val="00726CF0"/>
    <w:rsid w:val="00727252"/>
    <w:rsid w:val="00731068"/>
    <w:rsid w:val="00733D70"/>
    <w:rsid w:val="00736E66"/>
    <w:rsid w:val="0074095D"/>
    <w:rsid w:val="007416B8"/>
    <w:rsid w:val="0074218C"/>
    <w:rsid w:val="00742A6E"/>
    <w:rsid w:val="00742D02"/>
    <w:rsid w:val="0075129A"/>
    <w:rsid w:val="00752054"/>
    <w:rsid w:val="0075554D"/>
    <w:rsid w:val="00755B0B"/>
    <w:rsid w:val="00757ECC"/>
    <w:rsid w:val="0076304E"/>
    <w:rsid w:val="007657A0"/>
    <w:rsid w:val="0076727A"/>
    <w:rsid w:val="00767607"/>
    <w:rsid w:val="007705F9"/>
    <w:rsid w:val="00773B30"/>
    <w:rsid w:val="007764B5"/>
    <w:rsid w:val="00777A45"/>
    <w:rsid w:val="007803F8"/>
    <w:rsid w:val="0078162E"/>
    <w:rsid w:val="00782A6B"/>
    <w:rsid w:val="00786C0E"/>
    <w:rsid w:val="007A55F6"/>
    <w:rsid w:val="007A6587"/>
    <w:rsid w:val="007B18EC"/>
    <w:rsid w:val="007B27B9"/>
    <w:rsid w:val="007B48B8"/>
    <w:rsid w:val="007C3CD9"/>
    <w:rsid w:val="007C3FB0"/>
    <w:rsid w:val="007C4A01"/>
    <w:rsid w:val="007C6AFE"/>
    <w:rsid w:val="007D0F05"/>
    <w:rsid w:val="007D1B5C"/>
    <w:rsid w:val="007D2B05"/>
    <w:rsid w:val="007D4110"/>
    <w:rsid w:val="007D4215"/>
    <w:rsid w:val="007E14F5"/>
    <w:rsid w:val="007E729A"/>
    <w:rsid w:val="007E74F7"/>
    <w:rsid w:val="007F0021"/>
    <w:rsid w:val="007F1F57"/>
    <w:rsid w:val="007F1FF0"/>
    <w:rsid w:val="007F386E"/>
    <w:rsid w:val="007F58E8"/>
    <w:rsid w:val="007F652F"/>
    <w:rsid w:val="008017C8"/>
    <w:rsid w:val="00802469"/>
    <w:rsid w:val="0080438C"/>
    <w:rsid w:val="00807477"/>
    <w:rsid w:val="00807E53"/>
    <w:rsid w:val="008128AE"/>
    <w:rsid w:val="00812ACC"/>
    <w:rsid w:val="00812BDF"/>
    <w:rsid w:val="00817AC1"/>
    <w:rsid w:val="008238A1"/>
    <w:rsid w:val="008255FA"/>
    <w:rsid w:val="00826357"/>
    <w:rsid w:val="00831133"/>
    <w:rsid w:val="008323F9"/>
    <w:rsid w:val="00834181"/>
    <w:rsid w:val="00846831"/>
    <w:rsid w:val="0085138B"/>
    <w:rsid w:val="00852022"/>
    <w:rsid w:val="00853151"/>
    <w:rsid w:val="008536AD"/>
    <w:rsid w:val="00863608"/>
    <w:rsid w:val="008636FE"/>
    <w:rsid w:val="0086526F"/>
    <w:rsid w:val="00871AB3"/>
    <w:rsid w:val="00871B9E"/>
    <w:rsid w:val="00876B3E"/>
    <w:rsid w:val="00881873"/>
    <w:rsid w:val="008833BC"/>
    <w:rsid w:val="008849F6"/>
    <w:rsid w:val="00886CF8"/>
    <w:rsid w:val="008934BF"/>
    <w:rsid w:val="00895093"/>
    <w:rsid w:val="008A09D9"/>
    <w:rsid w:val="008A48C7"/>
    <w:rsid w:val="008B005C"/>
    <w:rsid w:val="008B20AD"/>
    <w:rsid w:val="008B3BAE"/>
    <w:rsid w:val="008C043D"/>
    <w:rsid w:val="008C1ECF"/>
    <w:rsid w:val="008C205A"/>
    <w:rsid w:val="008C261D"/>
    <w:rsid w:val="008C3DAD"/>
    <w:rsid w:val="008C4BAB"/>
    <w:rsid w:val="008C58DC"/>
    <w:rsid w:val="008D2B56"/>
    <w:rsid w:val="008D59E7"/>
    <w:rsid w:val="008D6EEA"/>
    <w:rsid w:val="008F09B0"/>
    <w:rsid w:val="008F60C4"/>
    <w:rsid w:val="008F6F83"/>
    <w:rsid w:val="008F7E36"/>
    <w:rsid w:val="00900593"/>
    <w:rsid w:val="0090411F"/>
    <w:rsid w:val="00910073"/>
    <w:rsid w:val="009153D2"/>
    <w:rsid w:val="009159FD"/>
    <w:rsid w:val="009221A0"/>
    <w:rsid w:val="00927880"/>
    <w:rsid w:val="009413A4"/>
    <w:rsid w:val="0094446B"/>
    <w:rsid w:val="00944F55"/>
    <w:rsid w:val="00951847"/>
    <w:rsid w:val="0095378D"/>
    <w:rsid w:val="00954A31"/>
    <w:rsid w:val="00956CC4"/>
    <w:rsid w:val="00957AA5"/>
    <w:rsid w:val="00961821"/>
    <w:rsid w:val="009634DA"/>
    <w:rsid w:val="0096358A"/>
    <w:rsid w:val="00965F3E"/>
    <w:rsid w:val="009670BE"/>
    <w:rsid w:val="009702D9"/>
    <w:rsid w:val="00971A28"/>
    <w:rsid w:val="009751B1"/>
    <w:rsid w:val="009751D8"/>
    <w:rsid w:val="009752C0"/>
    <w:rsid w:val="009761F2"/>
    <w:rsid w:val="00976B33"/>
    <w:rsid w:val="009775C5"/>
    <w:rsid w:val="009807DE"/>
    <w:rsid w:val="00983E92"/>
    <w:rsid w:val="00984638"/>
    <w:rsid w:val="00986330"/>
    <w:rsid w:val="00990ABC"/>
    <w:rsid w:val="009914EE"/>
    <w:rsid w:val="00991A75"/>
    <w:rsid w:val="00993ABA"/>
    <w:rsid w:val="00993F3D"/>
    <w:rsid w:val="00994269"/>
    <w:rsid w:val="0099430C"/>
    <w:rsid w:val="00994CED"/>
    <w:rsid w:val="00996918"/>
    <w:rsid w:val="00996D74"/>
    <w:rsid w:val="009A1ED9"/>
    <w:rsid w:val="009A31EB"/>
    <w:rsid w:val="009A38B1"/>
    <w:rsid w:val="009A7185"/>
    <w:rsid w:val="009A7334"/>
    <w:rsid w:val="009B2CD4"/>
    <w:rsid w:val="009B4D64"/>
    <w:rsid w:val="009B51A8"/>
    <w:rsid w:val="009B6B02"/>
    <w:rsid w:val="009B75C8"/>
    <w:rsid w:val="009B7DBC"/>
    <w:rsid w:val="009C1DDF"/>
    <w:rsid w:val="009C474E"/>
    <w:rsid w:val="009C4E3F"/>
    <w:rsid w:val="009D1069"/>
    <w:rsid w:val="009D121E"/>
    <w:rsid w:val="009D5C7B"/>
    <w:rsid w:val="009D69BF"/>
    <w:rsid w:val="009E13AE"/>
    <w:rsid w:val="009E39D7"/>
    <w:rsid w:val="009E3BB4"/>
    <w:rsid w:val="009E3C36"/>
    <w:rsid w:val="009F15B3"/>
    <w:rsid w:val="009F3D34"/>
    <w:rsid w:val="009F4064"/>
    <w:rsid w:val="009F4622"/>
    <w:rsid w:val="009F5392"/>
    <w:rsid w:val="009F6F2C"/>
    <w:rsid w:val="00A00C9F"/>
    <w:rsid w:val="00A04928"/>
    <w:rsid w:val="00A13ADA"/>
    <w:rsid w:val="00A13E89"/>
    <w:rsid w:val="00A26F65"/>
    <w:rsid w:val="00A300F1"/>
    <w:rsid w:val="00A406F5"/>
    <w:rsid w:val="00A43D16"/>
    <w:rsid w:val="00A4593D"/>
    <w:rsid w:val="00A5770F"/>
    <w:rsid w:val="00A5781A"/>
    <w:rsid w:val="00A60D39"/>
    <w:rsid w:val="00A619E0"/>
    <w:rsid w:val="00A63EA2"/>
    <w:rsid w:val="00A64E02"/>
    <w:rsid w:val="00A65395"/>
    <w:rsid w:val="00A66092"/>
    <w:rsid w:val="00A664E7"/>
    <w:rsid w:val="00A84927"/>
    <w:rsid w:val="00A86546"/>
    <w:rsid w:val="00A915F2"/>
    <w:rsid w:val="00A91DDE"/>
    <w:rsid w:val="00A954EF"/>
    <w:rsid w:val="00A97F1C"/>
    <w:rsid w:val="00AA0A34"/>
    <w:rsid w:val="00AA462C"/>
    <w:rsid w:val="00AB39AF"/>
    <w:rsid w:val="00AB3C62"/>
    <w:rsid w:val="00AB4546"/>
    <w:rsid w:val="00AB5B95"/>
    <w:rsid w:val="00AB5DAC"/>
    <w:rsid w:val="00AB71EF"/>
    <w:rsid w:val="00AC01C7"/>
    <w:rsid w:val="00AC0C1D"/>
    <w:rsid w:val="00AC26CD"/>
    <w:rsid w:val="00AC3312"/>
    <w:rsid w:val="00AC5176"/>
    <w:rsid w:val="00AC5E85"/>
    <w:rsid w:val="00AC6836"/>
    <w:rsid w:val="00AD4552"/>
    <w:rsid w:val="00AD4B87"/>
    <w:rsid w:val="00AD5D0C"/>
    <w:rsid w:val="00AD6C48"/>
    <w:rsid w:val="00AE0CFC"/>
    <w:rsid w:val="00AE1795"/>
    <w:rsid w:val="00AE3A3D"/>
    <w:rsid w:val="00AE7A6A"/>
    <w:rsid w:val="00AF236A"/>
    <w:rsid w:val="00AF3B4A"/>
    <w:rsid w:val="00AF5647"/>
    <w:rsid w:val="00AF6367"/>
    <w:rsid w:val="00B03043"/>
    <w:rsid w:val="00B039FB"/>
    <w:rsid w:val="00B03DC7"/>
    <w:rsid w:val="00B04CD0"/>
    <w:rsid w:val="00B10ECF"/>
    <w:rsid w:val="00B119F1"/>
    <w:rsid w:val="00B14C01"/>
    <w:rsid w:val="00B17C4F"/>
    <w:rsid w:val="00B23E2D"/>
    <w:rsid w:val="00B26DB1"/>
    <w:rsid w:val="00B274A8"/>
    <w:rsid w:val="00B30DD5"/>
    <w:rsid w:val="00B30E19"/>
    <w:rsid w:val="00B372CD"/>
    <w:rsid w:val="00B37650"/>
    <w:rsid w:val="00B42B58"/>
    <w:rsid w:val="00B43029"/>
    <w:rsid w:val="00B46622"/>
    <w:rsid w:val="00B474A4"/>
    <w:rsid w:val="00B47A27"/>
    <w:rsid w:val="00B47A72"/>
    <w:rsid w:val="00B51F90"/>
    <w:rsid w:val="00B53FDF"/>
    <w:rsid w:val="00B543FA"/>
    <w:rsid w:val="00B60762"/>
    <w:rsid w:val="00B60F85"/>
    <w:rsid w:val="00B6128A"/>
    <w:rsid w:val="00B642F0"/>
    <w:rsid w:val="00B657EA"/>
    <w:rsid w:val="00B65804"/>
    <w:rsid w:val="00B736CB"/>
    <w:rsid w:val="00B743E4"/>
    <w:rsid w:val="00B75086"/>
    <w:rsid w:val="00B7583B"/>
    <w:rsid w:val="00B760AF"/>
    <w:rsid w:val="00B76F9B"/>
    <w:rsid w:val="00B80EA3"/>
    <w:rsid w:val="00B812D9"/>
    <w:rsid w:val="00B84D3F"/>
    <w:rsid w:val="00B8552D"/>
    <w:rsid w:val="00B85706"/>
    <w:rsid w:val="00B85DBE"/>
    <w:rsid w:val="00B87F4D"/>
    <w:rsid w:val="00B90B3C"/>
    <w:rsid w:val="00B924CD"/>
    <w:rsid w:val="00B92B64"/>
    <w:rsid w:val="00B97402"/>
    <w:rsid w:val="00B976C1"/>
    <w:rsid w:val="00B97749"/>
    <w:rsid w:val="00B97CC0"/>
    <w:rsid w:val="00BA00EF"/>
    <w:rsid w:val="00BA2CDF"/>
    <w:rsid w:val="00BA393B"/>
    <w:rsid w:val="00BA4912"/>
    <w:rsid w:val="00BB21C1"/>
    <w:rsid w:val="00BB70EE"/>
    <w:rsid w:val="00BC32CB"/>
    <w:rsid w:val="00BD322B"/>
    <w:rsid w:val="00BD7E68"/>
    <w:rsid w:val="00BE323D"/>
    <w:rsid w:val="00BE7909"/>
    <w:rsid w:val="00BF1E74"/>
    <w:rsid w:val="00BF291D"/>
    <w:rsid w:val="00BF3626"/>
    <w:rsid w:val="00BF396A"/>
    <w:rsid w:val="00C05C1B"/>
    <w:rsid w:val="00C05E50"/>
    <w:rsid w:val="00C10B11"/>
    <w:rsid w:val="00C1236D"/>
    <w:rsid w:val="00C13506"/>
    <w:rsid w:val="00C163E2"/>
    <w:rsid w:val="00C210EA"/>
    <w:rsid w:val="00C21871"/>
    <w:rsid w:val="00C21948"/>
    <w:rsid w:val="00C2351A"/>
    <w:rsid w:val="00C23E29"/>
    <w:rsid w:val="00C25260"/>
    <w:rsid w:val="00C271C7"/>
    <w:rsid w:val="00C30820"/>
    <w:rsid w:val="00C30B6D"/>
    <w:rsid w:val="00C30D9F"/>
    <w:rsid w:val="00C32436"/>
    <w:rsid w:val="00C340E3"/>
    <w:rsid w:val="00C366CF"/>
    <w:rsid w:val="00C411D5"/>
    <w:rsid w:val="00C42186"/>
    <w:rsid w:val="00C44CBD"/>
    <w:rsid w:val="00C4614C"/>
    <w:rsid w:val="00C47853"/>
    <w:rsid w:val="00C53CFD"/>
    <w:rsid w:val="00C5526A"/>
    <w:rsid w:val="00C55B16"/>
    <w:rsid w:val="00C61E55"/>
    <w:rsid w:val="00C64568"/>
    <w:rsid w:val="00C71363"/>
    <w:rsid w:val="00C72C7B"/>
    <w:rsid w:val="00C7414C"/>
    <w:rsid w:val="00C768D4"/>
    <w:rsid w:val="00C809D9"/>
    <w:rsid w:val="00C85FE2"/>
    <w:rsid w:val="00C90BCE"/>
    <w:rsid w:val="00C97C3A"/>
    <w:rsid w:val="00CA51CC"/>
    <w:rsid w:val="00CA5E21"/>
    <w:rsid w:val="00CB2D80"/>
    <w:rsid w:val="00CB3CB4"/>
    <w:rsid w:val="00CB4F89"/>
    <w:rsid w:val="00CB75B4"/>
    <w:rsid w:val="00CC1885"/>
    <w:rsid w:val="00CC404A"/>
    <w:rsid w:val="00CC41DF"/>
    <w:rsid w:val="00CC6092"/>
    <w:rsid w:val="00CD5CB6"/>
    <w:rsid w:val="00CE02B0"/>
    <w:rsid w:val="00CF0D5D"/>
    <w:rsid w:val="00CF1968"/>
    <w:rsid w:val="00CF2100"/>
    <w:rsid w:val="00CF3186"/>
    <w:rsid w:val="00CF40BB"/>
    <w:rsid w:val="00CF475F"/>
    <w:rsid w:val="00CF709C"/>
    <w:rsid w:val="00D012DE"/>
    <w:rsid w:val="00D03A86"/>
    <w:rsid w:val="00D07B47"/>
    <w:rsid w:val="00D10BF0"/>
    <w:rsid w:val="00D116C5"/>
    <w:rsid w:val="00D12BD4"/>
    <w:rsid w:val="00D17495"/>
    <w:rsid w:val="00D21D74"/>
    <w:rsid w:val="00D22494"/>
    <w:rsid w:val="00D22B6C"/>
    <w:rsid w:val="00D22E9C"/>
    <w:rsid w:val="00D262DD"/>
    <w:rsid w:val="00D276F2"/>
    <w:rsid w:val="00D30225"/>
    <w:rsid w:val="00D32B5D"/>
    <w:rsid w:val="00D36597"/>
    <w:rsid w:val="00D37208"/>
    <w:rsid w:val="00D42430"/>
    <w:rsid w:val="00D43582"/>
    <w:rsid w:val="00D454A1"/>
    <w:rsid w:val="00D47AAC"/>
    <w:rsid w:val="00D523B9"/>
    <w:rsid w:val="00D60615"/>
    <w:rsid w:val="00D60906"/>
    <w:rsid w:val="00D62684"/>
    <w:rsid w:val="00D63206"/>
    <w:rsid w:val="00D65A49"/>
    <w:rsid w:val="00D67590"/>
    <w:rsid w:val="00D70208"/>
    <w:rsid w:val="00D7339D"/>
    <w:rsid w:val="00D73EC7"/>
    <w:rsid w:val="00D74644"/>
    <w:rsid w:val="00D76025"/>
    <w:rsid w:val="00D76EC6"/>
    <w:rsid w:val="00D81344"/>
    <w:rsid w:val="00D85779"/>
    <w:rsid w:val="00D87651"/>
    <w:rsid w:val="00D87E6E"/>
    <w:rsid w:val="00D9216F"/>
    <w:rsid w:val="00D93B67"/>
    <w:rsid w:val="00D951A4"/>
    <w:rsid w:val="00D97BDE"/>
    <w:rsid w:val="00DA2826"/>
    <w:rsid w:val="00DA454D"/>
    <w:rsid w:val="00DA52F1"/>
    <w:rsid w:val="00DA6AA7"/>
    <w:rsid w:val="00DB2108"/>
    <w:rsid w:val="00DB245B"/>
    <w:rsid w:val="00DB2BC5"/>
    <w:rsid w:val="00DB4E5F"/>
    <w:rsid w:val="00DC021A"/>
    <w:rsid w:val="00DC2F32"/>
    <w:rsid w:val="00DC55D1"/>
    <w:rsid w:val="00DC6823"/>
    <w:rsid w:val="00DC6F7C"/>
    <w:rsid w:val="00DD2F0C"/>
    <w:rsid w:val="00DD778D"/>
    <w:rsid w:val="00DE3AFA"/>
    <w:rsid w:val="00DE5161"/>
    <w:rsid w:val="00DE7547"/>
    <w:rsid w:val="00DF068F"/>
    <w:rsid w:val="00DF3D00"/>
    <w:rsid w:val="00DF3EC6"/>
    <w:rsid w:val="00DF4BFC"/>
    <w:rsid w:val="00DF7CA8"/>
    <w:rsid w:val="00E0051C"/>
    <w:rsid w:val="00E00DF2"/>
    <w:rsid w:val="00E013E3"/>
    <w:rsid w:val="00E031CE"/>
    <w:rsid w:val="00E06003"/>
    <w:rsid w:val="00E12B91"/>
    <w:rsid w:val="00E15BA7"/>
    <w:rsid w:val="00E210B7"/>
    <w:rsid w:val="00E23A10"/>
    <w:rsid w:val="00E25545"/>
    <w:rsid w:val="00E26458"/>
    <w:rsid w:val="00E26AF1"/>
    <w:rsid w:val="00E276D0"/>
    <w:rsid w:val="00E27983"/>
    <w:rsid w:val="00E3057E"/>
    <w:rsid w:val="00E31119"/>
    <w:rsid w:val="00E31E0F"/>
    <w:rsid w:val="00E32A88"/>
    <w:rsid w:val="00E3529B"/>
    <w:rsid w:val="00E358B8"/>
    <w:rsid w:val="00E35C11"/>
    <w:rsid w:val="00E406BB"/>
    <w:rsid w:val="00E4076C"/>
    <w:rsid w:val="00E43330"/>
    <w:rsid w:val="00E444A7"/>
    <w:rsid w:val="00E45637"/>
    <w:rsid w:val="00E45E7B"/>
    <w:rsid w:val="00E463BC"/>
    <w:rsid w:val="00E46E06"/>
    <w:rsid w:val="00E50E00"/>
    <w:rsid w:val="00E55ED7"/>
    <w:rsid w:val="00E563A2"/>
    <w:rsid w:val="00E60288"/>
    <w:rsid w:val="00E60B42"/>
    <w:rsid w:val="00E61487"/>
    <w:rsid w:val="00E61EE3"/>
    <w:rsid w:val="00E65745"/>
    <w:rsid w:val="00E660C7"/>
    <w:rsid w:val="00E70ED9"/>
    <w:rsid w:val="00E72084"/>
    <w:rsid w:val="00E734D9"/>
    <w:rsid w:val="00E7582E"/>
    <w:rsid w:val="00E769D3"/>
    <w:rsid w:val="00E77CC9"/>
    <w:rsid w:val="00E84B16"/>
    <w:rsid w:val="00E87222"/>
    <w:rsid w:val="00E93372"/>
    <w:rsid w:val="00E93E4A"/>
    <w:rsid w:val="00E9674C"/>
    <w:rsid w:val="00E97A67"/>
    <w:rsid w:val="00EA18B9"/>
    <w:rsid w:val="00EA2CDB"/>
    <w:rsid w:val="00EA74DC"/>
    <w:rsid w:val="00EA7507"/>
    <w:rsid w:val="00EB1E9F"/>
    <w:rsid w:val="00EB3132"/>
    <w:rsid w:val="00EB5D9C"/>
    <w:rsid w:val="00EC08BA"/>
    <w:rsid w:val="00EC1E78"/>
    <w:rsid w:val="00EC5200"/>
    <w:rsid w:val="00EC73E9"/>
    <w:rsid w:val="00ED1395"/>
    <w:rsid w:val="00EE1A5F"/>
    <w:rsid w:val="00EE4E9E"/>
    <w:rsid w:val="00EE604B"/>
    <w:rsid w:val="00EE66C9"/>
    <w:rsid w:val="00EF0EE3"/>
    <w:rsid w:val="00EF2D45"/>
    <w:rsid w:val="00EF31D8"/>
    <w:rsid w:val="00EF3BEC"/>
    <w:rsid w:val="00EF40AF"/>
    <w:rsid w:val="00F02425"/>
    <w:rsid w:val="00F02F35"/>
    <w:rsid w:val="00F0359E"/>
    <w:rsid w:val="00F06CF1"/>
    <w:rsid w:val="00F0745E"/>
    <w:rsid w:val="00F10853"/>
    <w:rsid w:val="00F10AB4"/>
    <w:rsid w:val="00F1151A"/>
    <w:rsid w:val="00F11F7C"/>
    <w:rsid w:val="00F2242F"/>
    <w:rsid w:val="00F2322E"/>
    <w:rsid w:val="00F2442A"/>
    <w:rsid w:val="00F2731E"/>
    <w:rsid w:val="00F32E7D"/>
    <w:rsid w:val="00F33574"/>
    <w:rsid w:val="00F35CB1"/>
    <w:rsid w:val="00F374E5"/>
    <w:rsid w:val="00F40DD7"/>
    <w:rsid w:val="00F500BF"/>
    <w:rsid w:val="00F52F31"/>
    <w:rsid w:val="00F52F46"/>
    <w:rsid w:val="00F53DEB"/>
    <w:rsid w:val="00F576F8"/>
    <w:rsid w:val="00F57857"/>
    <w:rsid w:val="00F6119E"/>
    <w:rsid w:val="00F630E5"/>
    <w:rsid w:val="00F63F48"/>
    <w:rsid w:val="00F64B5F"/>
    <w:rsid w:val="00F67FCA"/>
    <w:rsid w:val="00F70A4F"/>
    <w:rsid w:val="00F715BA"/>
    <w:rsid w:val="00F71F41"/>
    <w:rsid w:val="00F72F44"/>
    <w:rsid w:val="00F74312"/>
    <w:rsid w:val="00F81FE9"/>
    <w:rsid w:val="00F82667"/>
    <w:rsid w:val="00F84E94"/>
    <w:rsid w:val="00F872E1"/>
    <w:rsid w:val="00F93344"/>
    <w:rsid w:val="00F93F0F"/>
    <w:rsid w:val="00F967C9"/>
    <w:rsid w:val="00F9786C"/>
    <w:rsid w:val="00FA3B1F"/>
    <w:rsid w:val="00FA4CF0"/>
    <w:rsid w:val="00FA51A4"/>
    <w:rsid w:val="00FA6A59"/>
    <w:rsid w:val="00FA77A2"/>
    <w:rsid w:val="00FA7D4B"/>
    <w:rsid w:val="00FB1EDB"/>
    <w:rsid w:val="00FB202A"/>
    <w:rsid w:val="00FB2A45"/>
    <w:rsid w:val="00FC2DA6"/>
    <w:rsid w:val="00FC4C32"/>
    <w:rsid w:val="00FD47EF"/>
    <w:rsid w:val="00FD4E8F"/>
    <w:rsid w:val="00FD63EC"/>
    <w:rsid w:val="00FD7E4D"/>
    <w:rsid w:val="00FE43EC"/>
    <w:rsid w:val="00FF020D"/>
    <w:rsid w:val="00FF0B92"/>
    <w:rsid w:val="00FF3E1E"/>
    <w:rsid w:val="00FF67C9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1"/>
    <o:shapelayout v:ext="edit">
      <o:idmap v:ext="edit" data="2"/>
    </o:shapelayout>
  </w:shapeDefaults>
  <w:decimalSymbol w:val=","/>
  <w:listSeparator w:val=";"/>
  <w14:docId w14:val="0206A793"/>
  <w15:chartTrackingRefBased/>
  <w15:docId w15:val="{B99FABAE-8228-4F6C-A4D7-C4AB87B9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3A3D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D2B05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B51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B5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5163"/>
  </w:style>
  <w:style w:type="paragraph" w:styleId="Zpat">
    <w:name w:val="footer"/>
    <w:basedOn w:val="Normln"/>
    <w:link w:val="Zpat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5163"/>
  </w:style>
  <w:style w:type="character" w:styleId="Hypertextovodkaz">
    <w:name w:val="Hyperlink"/>
    <w:uiPriority w:val="99"/>
    <w:unhideWhenUsed/>
    <w:rsid w:val="00D93B67"/>
    <w:rPr>
      <w:color w:val="0000FF"/>
      <w:u w:val="single"/>
    </w:rPr>
  </w:style>
  <w:style w:type="character" w:customStyle="1" w:styleId="Nadpis2Char">
    <w:name w:val="Nadpis 2 Char"/>
    <w:link w:val="Nadpis2"/>
    <w:semiHidden/>
    <w:rsid w:val="007D2B05"/>
    <w:rPr>
      <w:rFonts w:ascii="Times New Roman" w:eastAsia="Times New Roman" w:hAnsi="Times New Roman"/>
      <w:b/>
      <w:bCs/>
      <w:sz w:val="24"/>
      <w:szCs w:val="24"/>
    </w:rPr>
  </w:style>
  <w:style w:type="paragraph" w:styleId="Zkladntext">
    <w:name w:val="Body Text"/>
    <w:basedOn w:val="Normln"/>
    <w:link w:val="ZkladntextChar"/>
    <w:semiHidden/>
    <w:unhideWhenUsed/>
    <w:rsid w:val="007D2B0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semiHidden/>
    <w:rsid w:val="007D2B0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420F7"/>
    <w:pPr>
      <w:ind w:left="720"/>
      <w:contextualSpacing/>
    </w:pPr>
    <w:rPr>
      <w:rFonts w:eastAsia="Times New Roman"/>
      <w:lang w:eastAsia="cs-CZ"/>
    </w:rPr>
  </w:style>
  <w:style w:type="character" w:styleId="Nevyeenzmnka">
    <w:name w:val="Unresolved Mention"/>
    <w:uiPriority w:val="99"/>
    <w:semiHidden/>
    <w:unhideWhenUsed/>
    <w:rsid w:val="00C72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mk.cz" TargetMode="External"/><Relationship Id="rId1" Type="http://schemas.openxmlformats.org/officeDocument/2006/relationships/hyperlink" Target="mailto:posta@jm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0FE31F879C4842A26D2E2B8C92BB19" ma:contentTypeVersion="12" ma:contentTypeDescription="Vytvoří nový dokument" ma:contentTypeScope="" ma:versionID="626b78adc26f1edcb2860de14e9af7c5">
  <xsd:schema xmlns:xsd="http://www.w3.org/2001/XMLSchema" xmlns:xs="http://www.w3.org/2001/XMLSchema" xmlns:p="http://schemas.microsoft.com/office/2006/metadata/properties" xmlns:ns2="fff5a0f7-eece-4d78-afa5-3b629ecf0459" xmlns:ns3="2e1f61e4-9930-411b-9a9c-d27a14d1fd54" targetNamespace="http://schemas.microsoft.com/office/2006/metadata/properties" ma:root="true" ma:fieldsID="88269ee6a8da2a2648127b4f788f6d38" ns2:_="" ns3:_="">
    <xsd:import namespace="fff5a0f7-eece-4d78-afa5-3b629ecf0459"/>
    <xsd:import namespace="2e1f61e4-9930-411b-9a9c-d27a14d1f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5a0f7-eece-4d78-afa5-3b629ecf0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f61e4-9930-411b-9a9c-d27a14d1fd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7CEA26-21BE-4B00-8234-01A13B85BC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DFEDE7-1E3C-405A-AABB-3433974D7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5a0f7-eece-4d78-afa5-3b629ecf0459"/>
    <ds:schemaRef ds:uri="2e1f61e4-9930-411b-9a9c-d27a14d1f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5178C4-80A0-4A9E-8329-E5CBA1ABF2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42EF30-4313-48B4-A6C2-0182C96260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4</Pages>
  <Words>1526</Words>
  <Characters>9010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Korespondence v přenesené působnosti - ředitelka</vt:lpstr>
    </vt:vector>
  </TitlesOfParts>
  <Company/>
  <LinksUpToDate>false</LinksUpToDate>
  <CharactersWithSpaces>10515</CharactersWithSpaces>
  <SharedDoc>false</SharedDoc>
  <HLinks>
    <vt:vector size="18" baseType="variant">
      <vt:variant>
        <vt:i4>2293878</vt:i4>
      </vt:variant>
      <vt:variant>
        <vt:i4>0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2293878</vt:i4>
      </vt:variant>
      <vt:variant>
        <vt:i4>6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2555981</vt:i4>
      </vt:variant>
      <vt:variant>
        <vt:i4>3</vt:i4>
      </vt:variant>
      <vt:variant>
        <vt:i4>0</vt:i4>
      </vt:variant>
      <vt:variant>
        <vt:i4>5</vt:i4>
      </vt:variant>
      <vt:variant>
        <vt:lpwstr>mailto:posta@kr-jihomoravsky.cz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Korespondence v přenesené působnosti - ředitelka</dc:title>
  <dc:subject/>
  <dc:creator>Zimková Hana</dc:creator>
  <cp:keywords/>
  <cp:lastModifiedBy>Holubová Jana</cp:lastModifiedBy>
  <cp:revision>486</cp:revision>
  <cp:lastPrinted>2023-02-17T13:25:00Z</cp:lastPrinted>
  <dcterms:created xsi:type="dcterms:W3CDTF">2020-04-30T06:11:00Z</dcterms:created>
  <dcterms:modified xsi:type="dcterms:W3CDTF">2023-02-24T10:16:00Z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0x010100140FE31F879C4842A26D2E2B8C92BB19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etDate">
    <vt:lpwstr>2023-02-24T10:16:05Z</vt:lpwstr>
  </property>
  <property fmtid="{D5CDD505-2E9C-101B-9397-08002B2CF9AE}" pid="5" name="MSIP_Label_690ebb53-23a2-471a-9c6e-17bd0d11311e_Method">
    <vt:lpwstr>Standard</vt:lpwstr>
  </property>
  <property fmtid="{D5CDD505-2E9C-101B-9397-08002B2CF9AE}" pid="6" name="MSIP_Label_690ebb53-23a2-471a-9c6e-17bd0d11311e_Name">
    <vt:lpwstr>690ebb53-23a2-471a-9c6e-17bd0d11311e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ActionId">
    <vt:lpwstr/>
  </property>
  <property fmtid="{D5CDD505-2E9C-101B-9397-08002B2CF9AE}" pid="9" name="MSIP_Label_690ebb53-23a2-471a-9c6e-17bd0d11311e_ContentBits">
    <vt:lpwstr>0</vt:lpwstr>
  </property>
</Properties>
</file>