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Obec Lochovice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Obecně závazná vyhláška obce  Lochovice č. 3/2022,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 w:val="false"/>
          <w:sz w:val="20"/>
          <w:szCs w:val="20"/>
        </w:rPr>
        <w:t>Zastupitelstvo obce Lochovice se na svém zasedání dne 15.12.2022 usnesením č. 11/Z3/2022 usneslo vydat na základě</w:t>
      </w:r>
      <w:r>
        <w:rPr>
          <w:rFonts w:cs="Arial" w:ascii="Arial" w:hAnsi="Arial"/>
          <w:b w:val="false"/>
          <w:bCs w:val="false"/>
          <w:sz w:val="20"/>
          <w:szCs w:val="20"/>
        </w:rPr>
        <w:t xml:space="preserve"> § 14 zákona č. 565/1990 Sb., o místních poplatcích, ve znění pozdějších předpisů (dále jen „zákon o místních poplatcích“), a v souladu s § 10 písm. d) </w:t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1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Úvodní ustanovení</w:t>
      </w:r>
    </w:p>
    <w:p>
      <w:pPr>
        <w:pStyle w:val="Odsazentlatextu"/>
        <w:numPr>
          <w:ilvl w:val="0"/>
          <w:numId w:val="2"/>
        </w:numPr>
        <w:spacing w:lineRule="auto" w:line="264" w:before="0" w:after="60"/>
        <w:rPr/>
      </w:pPr>
      <w:r>
        <w:rPr>
          <w:rFonts w:cs="Arial" w:ascii="Arial" w:hAnsi="Arial"/>
          <w:sz w:val="20"/>
          <w:szCs w:val="20"/>
        </w:rPr>
        <w:t>Obec Lochovice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2"/>
        </w:numPr>
        <w:spacing w:lineRule="auto" w:line="28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Správcem poplatku je obecní úřad Lochovice. </w:t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2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Poplatníkem poplatku je:</w:t>
      </w:r>
    </w:p>
    <w:p>
      <w:pPr>
        <w:pStyle w:val="Default"/>
        <w:spacing w:before="0" w:after="53"/>
        <w:ind w:firstLine="567"/>
        <w:jc w:val="both"/>
        <w:rPr/>
      </w:pPr>
      <w:r>
        <w:rPr>
          <w:sz w:val="20"/>
          <w:szCs w:val="20"/>
        </w:rPr>
        <w:t>a)  fyzická osoba přihlášená v obci</w:t>
      </w:r>
      <w:r>
        <w:rPr>
          <w:rStyle w:val="Znakypropoznmkupodarou"/>
          <w:sz w:val="20"/>
          <w:szCs w:val="20"/>
        </w:rPr>
        <w:t xml:space="preserve"> </w:t>
      </w:r>
      <w:r>
        <w:rPr>
          <w:sz w:val="20"/>
          <w:szCs w:val="20"/>
        </w:rPr>
        <w:t xml:space="preserve">nebo </w:t>
      </w:r>
    </w:p>
    <w:p>
      <w:pPr>
        <w:pStyle w:val="Default"/>
        <w:ind w:left="567" w:hanging="0"/>
        <w:jc w:val="both"/>
        <w:rPr/>
      </w:pPr>
      <w:r>
        <w:rPr>
          <w:sz w:val="20"/>
          <w:szCs w:val="20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Default"/>
        <w:ind w:left="567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 w:val="false"/>
          <w:bCs w:val="false"/>
          <w:sz w:val="20"/>
        </w:rPr>
        <w:t>Poplatkovým obdobím poplatku je kalendářní rok.</w:t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4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ohlášení poplatník uvede: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0"/>
          <w:szCs w:val="20"/>
        </w:rPr>
        <w:t>jméno, popřípadě jména, a příjmení, právnická nebo podnikající osoba uvede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numPr>
          <w:ilvl w:val="1"/>
          <w:numId w:val="10"/>
        </w:numPr>
        <w:spacing w:lineRule="auto" w:line="312" w:before="120" w:after="0"/>
        <w:jc w:val="both"/>
        <w:rPr/>
      </w:pPr>
      <w:r>
        <w:rPr>
          <w:rFonts w:cs="Arial" w:ascii="Arial" w:hAnsi="Arial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>Dojde-li ke změně údajů uvedených v ohlášení, je poplatník povinen tuto změnu oznámit do 15 dnů ode dne, kdy nastala.</w:t>
      </w:r>
    </w:p>
    <w:p>
      <w:pPr>
        <w:pStyle w:val="Normal"/>
        <w:numPr>
          <w:ilvl w:val="0"/>
          <w:numId w:val="10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5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0"/>
          <w:szCs w:val="20"/>
        </w:rPr>
        <w:t>Sazba poplatku činí 750,- 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/>
      </w:pPr>
      <w:r>
        <w:rPr>
          <w:rFonts w:cs="Arial" w:ascii="Arial" w:hAnsi="Arial"/>
          <w:sz w:val="20"/>
          <w:szCs w:val="20"/>
        </w:rPr>
        <w:t>Poplatek se v případě, že poplatková povinnost vznikla z důvodu přihlášení fyzické osoby v obci, snižuje o jednu dvanáctinu za každý kalendářní měsíc, na jehož konci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a) není tato fyzická osoba přihlášena v obci,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Style w:val="Znakypropoznmkupodarou"/>
          <w:rFonts w:ascii="Arial" w:hAnsi="Arial" w:cs="Arial"/>
          <w:position w:val="0"/>
          <w:sz w:val="20"/>
          <w:sz w:val="20"/>
          <w:szCs w:val="20"/>
          <w:vertAlign w:val="baseline"/>
        </w:rPr>
      </w:pPr>
      <w:r>
        <w:rPr>
          <w:rFonts w:cs="Arial" w:ascii="Arial" w:hAnsi="Arial"/>
          <w:sz w:val="20"/>
          <w:szCs w:val="20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>
      <w:pPr>
        <w:pStyle w:val="Normal"/>
        <w:spacing w:lineRule="auto" w:line="264" w:before="120" w:after="60"/>
        <w:jc w:val="both"/>
        <w:rPr/>
      </w:pPr>
      <w:r>
        <w:rPr>
          <w:rFonts w:eastAsia="Arial" w:cs="Arial" w:ascii="Arial" w:hAnsi="Arial"/>
          <w:sz w:val="20"/>
          <w:szCs w:val="20"/>
        </w:rPr>
        <w:t xml:space="preserve">         </w:t>
      </w:r>
      <w:r>
        <w:rPr>
          <w:rFonts w:cs="Arial" w:ascii="Arial" w:hAnsi="Arial"/>
          <w:sz w:val="20"/>
          <w:szCs w:val="20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c) je poplatník od poplatku osvobozen</w:t>
      </w:r>
      <w:r>
        <w:rPr>
          <w:rFonts w:cs="Arial" w:ascii="Arial" w:hAnsi="Arial"/>
          <w:i/>
          <w:color w:val="0070C0"/>
          <w:sz w:val="20"/>
          <w:szCs w:val="20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0"/>
          <w:szCs w:val="20"/>
        </w:rPr>
      </w:pPr>
      <w:r>
        <w:rPr>
          <w:rFonts w:cs="Arial" w:ascii="Arial" w:hAnsi="Arial"/>
          <w:i/>
          <w:color w:val="0070C0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6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Poplatek je splatný jednorázově, a to nejpozději do 31.3.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7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Osvobození a úlevy</w:t>
      </w:r>
    </w:p>
    <w:p>
      <w:pPr>
        <w:pStyle w:val="Default"/>
        <w:numPr>
          <w:ilvl w:val="0"/>
          <w:numId w:val="5"/>
        </w:numPr>
        <w:rPr/>
      </w:pPr>
      <w:r>
        <w:rPr>
          <w:sz w:val="20"/>
          <w:szCs w:val="20"/>
        </w:rPr>
        <w:t>Od poplatku je osvobozena osoba, které poplatková povinnost vznikla z důvodu přihlášení v obci a která je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ind w:left="567" w:hanging="0"/>
        <w:rPr>
          <w:sz w:val="20"/>
          <w:szCs w:val="20"/>
        </w:rPr>
      </w:pPr>
      <w:r>
        <w:rPr>
          <w:sz w:val="20"/>
          <w:szCs w:val="20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ind w:left="567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53"/>
        <w:ind w:left="567" w:hanging="0"/>
        <w:rPr/>
      </w:pPr>
      <w:r>
        <w:rPr>
          <w:color w:val="000000"/>
          <w:sz w:val="20"/>
          <w:szCs w:val="20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before="0" w:after="53"/>
        <w:ind w:left="567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Default"/>
        <w:spacing w:before="0" w:after="53"/>
        <w:ind w:left="567" w:hanging="0"/>
        <w:rPr/>
      </w:pPr>
      <w:r>
        <w:rPr>
          <w:color w:val="000000"/>
          <w:sz w:val="20"/>
          <w:szCs w:val="20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before="0" w:after="53"/>
        <w:ind w:left="567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Default"/>
        <w:spacing w:before="0" w:after="53"/>
        <w:ind w:left="567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before="0" w:after="53"/>
        <w:ind w:left="567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Default"/>
        <w:ind w:left="567" w:hang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e) na základě zákona omezena na osobní svobodě s výjimkou osoby vykonávající trest      domácího vězení. </w:t>
      </w:r>
    </w:p>
    <w:p>
      <w:pPr>
        <w:pStyle w:val="Normal"/>
        <w:spacing w:lineRule="auto" w:line="26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 poplatku jsou osvobozeny narozené děti v kalendářním roce jejich narození.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>Nárok na úlevu vzniká osobě, které poplatková povinnost vznikla z důvodu přihlášení v obci a která předchozího kalendářního roku dovršila minimálně 70 let, a to ve výši 400 Kč.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Úleva pro osoby dle čl. 7 bodu 2) se poskytuje osobám, které v daném kalendářním roce nemají na daném druhu poplatku dluh. </w:t>
      </w:r>
    </w:p>
    <w:p>
      <w:pPr>
        <w:pStyle w:val="Normal"/>
        <w:numPr>
          <w:ilvl w:val="0"/>
          <w:numId w:val="5"/>
        </w:numPr>
        <w:spacing w:lineRule="auto" w:line="264" w:before="120" w:after="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Úleva se v případě, že poplatková povinnost vznikla z důvodu přihlášení fyzické osoby v obci v daném kalendářním roce, snižuje o jednu dvanáctinu za každý kalendářní měsíc, kdy není fyzická osoba v obci k pobytu přihlášena.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8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Navýšení poplatku 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>Nebudou-li poplatky zaplaceny poplatníkem včas nebo ve správné výši, vyměří mu správce poplatku poplatek platebním výměrem nebo hromadným předpisným seznamem.</w:t>
      </w:r>
    </w:p>
    <w:p>
      <w:pPr>
        <w:pStyle w:val="Normal"/>
        <w:numPr>
          <w:ilvl w:val="0"/>
          <w:numId w:val="6"/>
        </w:numPr>
        <w:spacing w:lineRule="auto" w:line="264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Včas nezaplacené poplatky nebo část těchto poplatků může správce poplatku zvýšit až na trojnásobek; toto zvýšení je příslušenstvím poplatku sledujícím jeho osud.</w:t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9</w:t>
      </w:r>
    </w:p>
    <w:p>
      <w:pPr>
        <w:pStyle w:val="Slalnk"/>
        <w:spacing w:before="60" w:after="1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Odpovědnost za zaplacení poplatku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Vznikne-li nedoplatek na poplatku poplatníkovi, který je ke dni splatnosti nezletilý </w:t>
        <w:br/>
        <w:t xml:space="preserve">a nenabyl plné svéprávnosti nebo který je ke dni splatnosti omezen ve svéprávnosti </w:t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>V případě podle odstavce 1) vyměří správce poplatku poplatek zákonnému zástupci nebo opatrovníkovi poplatníka.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>Je-li zákonných zástupců nebo opatrovníků více, jsou povinni plnit poplatkovou povinnost společně a nerozdílně.</w:t>
      </w:r>
    </w:p>
    <w:p>
      <w:pPr>
        <w:pStyle w:val="Slalnk"/>
        <w:spacing w:before="480" w:after="60"/>
        <w:ind w:left="3540" w:firstLine="708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10</w:t>
      </w:r>
    </w:p>
    <w:p>
      <w:pPr>
        <w:pStyle w:val="Nzvylnk"/>
        <w:ind w:left="3399" w:firstLine="141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Společná ustanovení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>
      <w:pPr>
        <w:pStyle w:val="Normal"/>
        <w:numPr>
          <w:ilvl w:val="0"/>
          <w:numId w:val="9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11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Přechodná ustanovení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Údaje ohlášené poplatníkem </w:t>
      </w:r>
      <w:bookmarkStart w:id="0" w:name="_Hlk54596575"/>
      <w:r>
        <w:rPr>
          <w:rFonts w:cs="Arial" w:ascii="Arial" w:hAnsi="Arial"/>
          <w:sz w:val="20"/>
          <w:szCs w:val="20"/>
        </w:rPr>
        <w:t>místního poplatku za provoz systému shromažďování, sběru, přepravy, třídění, využívání a odstraňování komunálních odpadů</w:t>
      </w:r>
      <w:bookmarkEnd w:id="0"/>
      <w:r>
        <w:rPr>
          <w:rFonts w:cs="Arial" w:ascii="Arial" w:hAnsi="Arial"/>
          <w:sz w:val="20"/>
          <w:szCs w:val="20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numPr>
          <w:ilvl w:val="0"/>
          <w:numId w:val="11"/>
        </w:numPr>
        <w:spacing w:lineRule="auto" w:line="264"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12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Zrušovací ustanovení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0"/>
          <w:szCs w:val="20"/>
        </w:rPr>
      </w:pPr>
      <w:bookmarkStart w:id="1" w:name="_Hlk54595723"/>
      <w:r>
        <w:rPr>
          <w:rFonts w:cs="Arial" w:ascii="Arial" w:hAnsi="Arial"/>
          <w:sz w:val="20"/>
          <w:szCs w:val="20"/>
        </w:rPr>
        <w:t xml:space="preserve">Zrušuje se obecně závazná vyhláška </w:t>
      </w:r>
      <w:bookmarkEnd w:id="1"/>
      <w:r>
        <w:rPr>
          <w:rFonts w:cs="Arial" w:ascii="Arial" w:hAnsi="Arial"/>
          <w:sz w:val="20"/>
          <w:szCs w:val="20"/>
        </w:rPr>
        <w:t>č. 2/2021 ze dne</w:t>
      </w:r>
      <w:r>
        <w:rPr>
          <w:rFonts w:cs="Arial" w:ascii="Arial" w:hAnsi="Arial"/>
          <w:i/>
          <w:sz w:val="20"/>
          <w:szCs w:val="20"/>
        </w:rPr>
        <w:t xml:space="preserve"> 16.12.2021.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lalnk"/>
        <w:spacing w:before="480" w:after="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Čl. 13</w:t>
      </w:r>
    </w:p>
    <w:p>
      <w:pPr>
        <w:pStyle w:val="Nzvylnk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/>
      </w:pPr>
      <w:r>
        <w:rPr>
          <w:rFonts w:cs="Arial" w:ascii="Arial" w:hAnsi="Arial"/>
          <w:sz w:val="20"/>
          <w:szCs w:val="20"/>
        </w:rPr>
        <w:t xml:space="preserve">Tato vyhláška nabývá účinnosti dnem 1.1.2023.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color w:val="1A4BD6"/>
          <w:sz w:val="20"/>
          <w:szCs w:val="20"/>
        </w:rPr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1A4BD6"/>
          <w:sz w:val="20"/>
          <w:szCs w:val="20"/>
        </w:rPr>
      </w:pPr>
      <w:r>
        <w:rPr>
          <w:rFonts w:cs="Arial" w:ascii="Arial" w:hAnsi="Arial"/>
          <w:b/>
          <w:bCs/>
          <w:i/>
          <w:color w:val="1A4BD6"/>
          <w:sz w:val="20"/>
          <w:szCs w:val="2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64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>...................................</w:t>
        <w:tab/>
        <w:t>..........................................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64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 xml:space="preserve">Vladimír Chot                                                                         Ing. Tomáš Komínek 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/>
      </w:pPr>
      <w:r>
        <w:rPr>
          <w:rFonts w:cs="Arial" w:ascii="Arial" w:hAnsi="Arial"/>
          <w:sz w:val="20"/>
          <w:szCs w:val="20"/>
        </w:rPr>
        <w:tab/>
        <w:t>místostarosta</w:t>
        <w:tab/>
        <w:t>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Vyvěšeno na úřední desce dne: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64" w:before="12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Sejmuto z úřední desky dne: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footerReference w:type="default" r:id="rId2"/>
      <w:type w:val="nextPage"/>
      <w:pgSz w:w="11906" w:h="16838"/>
      <w:pgMar w:left="1418" w:right="1418" w:gutter="0" w:header="0" w:top="992" w:footer="709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cs-CZ" w:bidi="ar-SA" w:eastAsia="zh-CN"/>
    </w:rPr>
  </w:style>
  <w:style w:type="character" w:styleId="WW8Num1z0">
    <w:name w:val="WW8Num1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2z0">
    <w:name w:val="WW8Num2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3z0">
    <w:name w:val="WW8Num3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4z0">
    <w:name w:val="WW8Num4z0"/>
    <w:qFormat/>
    <w:rPr>
      <w:b w:val="false"/>
      <w:i w:val="false"/>
      <w:strike w:val="false"/>
      <w:dstrike w:val="false"/>
      <w:color w:val="auto"/>
      <w:position w:val="0"/>
      <w:sz w:val="20"/>
      <w:sz w:val="20"/>
      <w:vertAlign w:val="baseline"/>
    </w:rPr>
  </w:style>
  <w:style w:type="character" w:styleId="WW8Num5z0">
    <w:name w:val="WW8Num5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6z0">
    <w:name w:val="WW8Num6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7z0">
    <w:name w:val="WW8Num7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9z0">
    <w:name w:val="WW8Num9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10z0">
    <w:name w:val="WW8Num10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11z0">
    <w:name w:val="WW8Num11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12z0">
    <w:name w:val="WW8Num12z0"/>
    <w:qFormat/>
    <w:rPr>
      <w:b w:val="false"/>
      <w:i w:val="false"/>
      <w:strike w:val="false"/>
      <w:dstrike w:val="false"/>
      <w:color w:val="auto"/>
      <w:position w:val="0"/>
      <w:sz w:val="20"/>
      <w:sz w:val="20"/>
      <w:vertAlign w:val="baseline"/>
    </w:rPr>
  </w:style>
  <w:style w:type="character" w:styleId="WW8Num13z0">
    <w:name w:val="WW8Num13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14z0">
    <w:name w:val="WW8Num14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WW8Num15z0">
    <w:name w:val="WW8Num15z0"/>
    <w:qFormat/>
    <w:rPr>
      <w:b w:val="false"/>
      <w:i w:val="false"/>
      <w:strike w:val="false"/>
      <w:dstrike w:val="false"/>
      <w:position w:val="0"/>
      <w:sz w:val="20"/>
      <w:sz w:val="20"/>
      <w:vertAlign w:val="baseline"/>
    </w:rPr>
  </w:style>
  <w:style w:type="character" w:styleId="Standardnpsmoodstavce">
    <w:name w:val="Standardní písmo odstavce"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Znakypropoznmkupodarou">
    <w:name w:val="WW-Znaky pro poznámku pod čarou"/>
    <w:qFormat/>
    <w:rPr/>
  </w:style>
  <w:style w:type="paragraph" w:styleId="Nadpis">
    <w:name w:val="Nadpis"/>
    <w:basedOn w:val="Normal"/>
    <w:next w:val="Tlotextu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/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Nzevzkona">
    <w:name w:val="název zákona"/>
    <w:basedOn w:val="Nadpis"/>
    <w:qFormat/>
    <w:pPr>
      <w:outlineLvl w:val="9"/>
    </w:pPr>
    <w:rPr>
      <w:rFonts w:ascii="Cambria" w:hAnsi="Cambria" w:cs="Cambria"/>
      <w:kern w:val="2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</w:pPr>
    <w:rPr>
      <w:rFonts w:ascii="Arial" w:hAnsi="Arial" w:eastAsia="Times New Roman" w:cs="Arial"/>
      <w:color w:val="000000"/>
      <w:sz w:val="24"/>
      <w:szCs w:val="24"/>
      <w:lang w:val="cs-CZ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</TotalTime>
  <Application>LibreOffice/7.3.1.3$Windows_X86_64 LibreOffice_project/a69ca51ded25f3eefd52d7bf9a5fad8c90b87951</Application>
  <AppVersion>15.0000</AppVersion>
  <Pages>4</Pages>
  <Words>1192</Words>
  <Characters>6866</Characters>
  <CharactersWithSpaces>8054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2022-12-16T10:54:00Z</dcterms:created>
  <dc:creator>Lochovice</dc:creator>
  <dc:description/>
  <cp:keywords/>
  <dc:language>cs-CZ</dc:language>
  <cp:lastModifiedBy>Sekretariat Lochovice</cp:lastModifiedBy>
  <cp:lastPrinted>2022-12-16T10:51:00Z</cp:lastPrinted>
  <dcterms:modified xsi:type="dcterms:W3CDTF">2022-12-16T10:54:00Z</dcterms:modified>
  <cp:revision>2</cp:revision>
  <dc:subject/>
  <dc:title>Obec Lochovice</dc:title>
</cp:coreProperties>
</file>