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8D9B" w14:textId="77777777" w:rsidR="008F2808" w:rsidRDefault="008F2808" w:rsidP="008F2808">
      <w:pPr>
        <w:pStyle w:val="Zkladntext"/>
        <w:tabs>
          <w:tab w:val="left" w:pos="255"/>
          <w:tab w:val="center" w:pos="4536"/>
        </w:tabs>
        <w:spacing w:after="0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9459FA7" wp14:editId="7BCA1F9A">
            <wp:simplePos x="0" y="0"/>
            <wp:positionH relativeFrom="margin">
              <wp:align>left</wp:align>
            </wp:positionH>
            <wp:positionV relativeFrom="paragraph">
              <wp:posOffset>-6129</wp:posOffset>
            </wp:positionV>
            <wp:extent cx="723900" cy="819150"/>
            <wp:effectExtent l="0" t="0" r="0" b="0"/>
            <wp:wrapNone/>
            <wp:docPr id="1" name="Obrázek 1" descr="Luka nad Jihlav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uka nad Jihlavo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D22">
        <w:rPr>
          <w:rFonts w:ascii="Arial" w:hAnsi="Arial" w:cs="Arial"/>
          <w:b/>
          <w:caps/>
          <w:sz w:val="36"/>
          <w:szCs w:val="36"/>
        </w:rPr>
        <w:t>Městys Luka nad Jihlavou</w:t>
      </w:r>
    </w:p>
    <w:p w14:paraId="432338C4" w14:textId="77777777" w:rsidR="008F2808" w:rsidRPr="00575D22" w:rsidRDefault="008F2808" w:rsidP="008F2808">
      <w:pPr>
        <w:pStyle w:val="Zkladntext"/>
        <w:tabs>
          <w:tab w:val="left" w:pos="255"/>
          <w:tab w:val="center" w:pos="4536"/>
        </w:tabs>
        <w:spacing w:after="0"/>
        <w:jc w:val="center"/>
        <w:rPr>
          <w:rFonts w:ascii="Arial" w:hAnsi="Arial" w:cs="Arial"/>
          <w:b/>
          <w:caps/>
          <w:sz w:val="36"/>
          <w:szCs w:val="36"/>
        </w:rPr>
      </w:pPr>
      <w:r w:rsidRPr="005417B0">
        <w:rPr>
          <w:rFonts w:ascii="Arial" w:hAnsi="Arial" w:cs="Arial"/>
          <w:b/>
          <w:sz w:val="28"/>
          <w:szCs w:val="28"/>
        </w:rPr>
        <w:t>Zastupitelstvo městyse Luka nad Jihlavou</w:t>
      </w:r>
    </w:p>
    <w:p w14:paraId="466FFDA8" w14:textId="77777777" w:rsidR="008F2808" w:rsidRDefault="008F2808" w:rsidP="008F280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5C68065F" w14:textId="77777777" w:rsidR="008F2808" w:rsidRDefault="008F2808" w:rsidP="008F280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00E590AC" w14:textId="417C8C72" w:rsidR="008F2808" w:rsidRPr="00027E21" w:rsidRDefault="008F2808" w:rsidP="008F2808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Cs w:val="24"/>
        </w:rPr>
      </w:pPr>
      <w:r w:rsidRPr="00027E21">
        <w:rPr>
          <w:rFonts w:ascii="Arial" w:hAnsi="Arial" w:cs="Arial"/>
          <w:b/>
          <w:color w:val="000000"/>
          <w:szCs w:val="24"/>
        </w:rPr>
        <w:t xml:space="preserve">Obecně závazná vyhláška městyse č. </w:t>
      </w:r>
      <w:r>
        <w:rPr>
          <w:rFonts w:ascii="Arial" w:hAnsi="Arial" w:cs="Arial"/>
          <w:b/>
          <w:color w:val="000000"/>
          <w:szCs w:val="24"/>
        </w:rPr>
        <w:t>4</w:t>
      </w:r>
      <w:r w:rsidRPr="00027E21">
        <w:rPr>
          <w:rFonts w:ascii="Arial" w:hAnsi="Arial" w:cs="Arial"/>
          <w:b/>
          <w:color w:val="000000"/>
          <w:szCs w:val="24"/>
        </w:rPr>
        <w:t>/20</w:t>
      </w:r>
      <w:r>
        <w:rPr>
          <w:rFonts w:ascii="Arial" w:hAnsi="Arial" w:cs="Arial"/>
          <w:b/>
          <w:color w:val="000000"/>
          <w:szCs w:val="24"/>
        </w:rPr>
        <w:t>12</w:t>
      </w:r>
      <w:r w:rsidRPr="00027E21">
        <w:rPr>
          <w:rFonts w:ascii="Arial" w:hAnsi="Arial" w:cs="Arial"/>
          <w:b/>
          <w:color w:val="000000"/>
          <w:szCs w:val="24"/>
        </w:rPr>
        <w:t>,</w:t>
      </w:r>
    </w:p>
    <w:p w14:paraId="4D8D3597" w14:textId="3A22825F" w:rsidR="008F2808" w:rsidRPr="0088026B" w:rsidRDefault="008F2808" w:rsidP="008F29D6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DD59F4">
        <w:rPr>
          <w:rFonts w:ascii="Arial" w:hAnsi="Arial" w:cs="Arial"/>
          <w:b/>
        </w:rPr>
        <w:t>o místní</w:t>
      </w:r>
      <w:r>
        <w:rPr>
          <w:rFonts w:ascii="Arial" w:hAnsi="Arial" w:cs="Arial"/>
          <w:b/>
        </w:rPr>
        <w:t>ch</w:t>
      </w:r>
      <w:r w:rsidRPr="00DD59F4">
        <w:rPr>
          <w:rFonts w:ascii="Arial" w:hAnsi="Arial" w:cs="Arial"/>
          <w:b/>
        </w:rPr>
        <w:t xml:space="preserve"> poplat</w:t>
      </w:r>
      <w:r>
        <w:rPr>
          <w:rFonts w:ascii="Arial" w:hAnsi="Arial" w:cs="Arial"/>
          <w:b/>
        </w:rPr>
        <w:t>cích</w:t>
      </w:r>
      <w:r w:rsidRPr="00DD59F4">
        <w:rPr>
          <w:rFonts w:ascii="Arial" w:hAnsi="Arial" w:cs="Arial"/>
          <w:b/>
        </w:rPr>
        <w:t xml:space="preserve"> </w:t>
      </w: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EC5B18E" w14:textId="77777777" w:rsidR="008F2808" w:rsidRDefault="008F2808" w:rsidP="008F280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4E575A59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CF52132" w14:textId="002C1922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Zastupitelstvo Městyse Luka nad Jihlavou se usneslo dne 06.03.2012 vydat na základě § 14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odst. 2 zákona č. 565/1990 Sb., o místních poplatcích, ve znění pozdějších předpisů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a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v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souladu § 10 písm. d) a § 84 odst. 2 písm. h) zák. č. 128/2000 Sb., o obcích (obecní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zřízení), ve znění pozdějších předpisů, tuto obecně závaznou vyhlášku:</w:t>
      </w:r>
    </w:p>
    <w:p w14:paraId="63077957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0C6FA50" w14:textId="77777777" w:rsidR="008F2808" w:rsidRPr="008F2808" w:rsidRDefault="008F2808" w:rsidP="008F280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ČÁST PRVNÍ</w:t>
      </w:r>
    </w:p>
    <w:p w14:paraId="5C7DA4A1" w14:textId="77777777" w:rsidR="008F2808" w:rsidRPr="008F2808" w:rsidRDefault="008F2808" w:rsidP="008F280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ZÁKLADNÍ USTANOVENÍ</w:t>
      </w:r>
    </w:p>
    <w:p w14:paraId="5B219EF6" w14:textId="77777777" w:rsidR="008F2808" w:rsidRPr="008F2808" w:rsidRDefault="008F2808" w:rsidP="008F280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33DC217A" w14:textId="77777777" w:rsidR="008F2808" w:rsidRPr="008F2808" w:rsidRDefault="008F2808" w:rsidP="008F280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</w:t>
      </w:r>
    </w:p>
    <w:p w14:paraId="22412D7A" w14:textId="77777777" w:rsid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Úvodní ustanovení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3F5A2D17" w14:textId="77777777" w:rsidR="002A2568" w:rsidRDefault="008F2808" w:rsidP="002A256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A2568">
        <w:rPr>
          <w:rFonts w:ascii="Arial" w:eastAsia="Times New Roman" w:hAnsi="Arial" w:cs="Arial"/>
          <w:kern w:val="0"/>
          <w:lang w:eastAsia="cs-CZ"/>
          <w14:ligatures w14:val="none"/>
        </w:rPr>
        <w:t>Městys Luka nad Jihlavou vybírá tyto místní poplatky:</w:t>
      </w:r>
    </w:p>
    <w:p w14:paraId="37FB0E07" w14:textId="77777777" w:rsidR="002A2568" w:rsidRDefault="008F2808" w:rsidP="002A2568">
      <w:pPr>
        <w:pStyle w:val="Odstavecseseznamem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A2568">
        <w:rPr>
          <w:rFonts w:ascii="Arial" w:eastAsia="Times New Roman" w:hAnsi="Arial" w:cs="Arial"/>
          <w:kern w:val="0"/>
          <w:lang w:eastAsia="cs-CZ"/>
          <w14:ligatures w14:val="none"/>
        </w:rPr>
        <w:t>a) poplatek ze psů</w:t>
      </w:r>
    </w:p>
    <w:p w14:paraId="7ECDE27B" w14:textId="77777777" w:rsidR="002A2568" w:rsidRDefault="008F2808" w:rsidP="002A2568">
      <w:pPr>
        <w:pStyle w:val="Odstavecseseznamem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A2568">
        <w:rPr>
          <w:rFonts w:ascii="Arial" w:eastAsia="Times New Roman" w:hAnsi="Arial" w:cs="Arial"/>
          <w:kern w:val="0"/>
          <w:lang w:eastAsia="cs-CZ"/>
          <w14:ligatures w14:val="none"/>
        </w:rPr>
        <w:t>b) poplatek za užívání veřejného prostranství</w:t>
      </w:r>
    </w:p>
    <w:p w14:paraId="5C6E0E48" w14:textId="77777777" w:rsidR="002A2568" w:rsidRDefault="008F2808" w:rsidP="002A2568">
      <w:pPr>
        <w:pStyle w:val="Odstavecseseznamem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A2568">
        <w:rPr>
          <w:rFonts w:ascii="Arial" w:eastAsia="Times New Roman" w:hAnsi="Arial" w:cs="Arial"/>
          <w:kern w:val="0"/>
          <w:lang w:eastAsia="cs-CZ"/>
          <w14:ligatures w14:val="none"/>
        </w:rPr>
        <w:t>c) poplatek ze vstupného</w:t>
      </w:r>
    </w:p>
    <w:p w14:paraId="70703041" w14:textId="1922B5F8" w:rsidR="008F2808" w:rsidRPr="002A2568" w:rsidRDefault="008F2808" w:rsidP="002A256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A2568">
        <w:rPr>
          <w:rFonts w:ascii="Arial" w:eastAsia="Times New Roman" w:hAnsi="Arial" w:cs="Arial"/>
          <w:kern w:val="0"/>
          <w:lang w:eastAsia="cs-CZ"/>
          <w14:ligatures w14:val="none"/>
        </w:rPr>
        <w:t>Řízení o poplatcích vykonává úřad městyse (dále jen „správce poplatku“).</w:t>
      </w:r>
      <w:r w:rsidR="00B26E7F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1"/>
      </w:r>
    </w:p>
    <w:p w14:paraId="1AF81132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9B86E13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ČÁST DRUHÁ</w:t>
      </w:r>
    </w:p>
    <w:p w14:paraId="7363B09B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POPLATEK ZE PSŮ</w:t>
      </w:r>
    </w:p>
    <w:p w14:paraId="527B251E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94BBEA6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2</w:t>
      </w:r>
    </w:p>
    <w:p w14:paraId="49DDBC79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A944373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Poplatník a předmět poplatku</w:t>
      </w:r>
    </w:p>
    <w:p w14:paraId="58663E68" w14:textId="63AB973A" w:rsidR="002A2568" w:rsidRPr="002A2568" w:rsidRDefault="008F2808" w:rsidP="002A2568">
      <w:pPr>
        <w:pStyle w:val="Odstavecseseznamem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A2568">
        <w:rPr>
          <w:rFonts w:ascii="Arial" w:eastAsia="Times New Roman" w:hAnsi="Arial" w:cs="Arial"/>
          <w:kern w:val="0"/>
          <w:lang w:eastAsia="cs-CZ"/>
          <w14:ligatures w14:val="none"/>
        </w:rPr>
        <w:t>Poplatek ze psů platí držitel psa. Držitelem je fyzická nebo právnická osoba, která má</w:t>
      </w:r>
      <w:r w:rsidR="002A256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2A2568">
        <w:rPr>
          <w:rFonts w:ascii="Arial" w:eastAsia="Times New Roman" w:hAnsi="Arial" w:cs="Arial"/>
          <w:kern w:val="0"/>
          <w:lang w:eastAsia="cs-CZ"/>
          <w14:ligatures w14:val="none"/>
        </w:rPr>
        <w:t>trvalý pobyt nebo sídlo na území městyse Luka nad Jihlavou.</w:t>
      </w:r>
      <w:r w:rsidR="00B26E7F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2"/>
      </w:r>
    </w:p>
    <w:p w14:paraId="4AF0CBEF" w14:textId="48D56562" w:rsidR="002A2568" w:rsidRPr="00B26E7F" w:rsidRDefault="008F2808" w:rsidP="002A2568">
      <w:pPr>
        <w:pStyle w:val="Odstavecseseznamem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A2568">
        <w:rPr>
          <w:rFonts w:ascii="Arial" w:eastAsia="Times New Roman" w:hAnsi="Arial" w:cs="Arial"/>
          <w:kern w:val="0"/>
          <w:lang w:eastAsia="cs-CZ"/>
          <w14:ligatures w14:val="none"/>
        </w:rPr>
        <w:t xml:space="preserve"> Poplatek ze psů se platí ze psů starších 3 měsíců.</w:t>
      </w:r>
      <w:r w:rsidR="00B26E7F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3"/>
      </w:r>
    </w:p>
    <w:p w14:paraId="7E828A62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103D6D2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3</w:t>
      </w:r>
    </w:p>
    <w:p w14:paraId="3B5534FE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388B095" w14:textId="77777777" w:rsidR="00B26E7F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Vznik a zánik poplatkové povinnosti</w:t>
      </w:r>
    </w:p>
    <w:p w14:paraId="03E850B4" w14:textId="77777777" w:rsidR="00B26E7F" w:rsidRDefault="008F2808" w:rsidP="00E32BD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26E7F">
        <w:rPr>
          <w:rFonts w:ascii="Arial" w:eastAsia="Times New Roman" w:hAnsi="Arial" w:cs="Arial"/>
          <w:kern w:val="0"/>
          <w:lang w:eastAsia="cs-CZ"/>
          <w14:ligatures w14:val="none"/>
        </w:rPr>
        <w:t>Poplatková povinnost vzniká držiteli psa v den, kdy pes dovršil stáří tří měsíců, nebo</w:t>
      </w:r>
      <w:r w:rsidR="00B26E7F" w:rsidRPr="00B26E7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B26E7F">
        <w:rPr>
          <w:rFonts w:ascii="Arial" w:eastAsia="Times New Roman" w:hAnsi="Arial" w:cs="Arial"/>
          <w:kern w:val="0"/>
          <w:lang w:eastAsia="cs-CZ"/>
          <w14:ligatures w14:val="none"/>
        </w:rPr>
        <w:t>v</w:t>
      </w:r>
      <w:r w:rsidR="00B26E7F" w:rsidRPr="00B26E7F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B26E7F">
        <w:rPr>
          <w:rFonts w:ascii="Arial" w:eastAsia="Times New Roman" w:hAnsi="Arial" w:cs="Arial"/>
          <w:kern w:val="0"/>
          <w:lang w:eastAsia="cs-CZ"/>
          <w14:ligatures w14:val="none"/>
        </w:rPr>
        <w:t>den, kdy se stal držitelem psa staršího tří měsíců.</w:t>
      </w:r>
    </w:p>
    <w:p w14:paraId="66BF42FF" w14:textId="77777777" w:rsidR="00E32BD4" w:rsidRDefault="008F2808" w:rsidP="00E32BD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26E7F">
        <w:rPr>
          <w:rFonts w:ascii="Arial" w:eastAsia="Times New Roman" w:hAnsi="Arial" w:cs="Arial"/>
          <w:kern w:val="0"/>
          <w:lang w:eastAsia="cs-CZ"/>
          <w14:ligatures w14:val="none"/>
        </w:rPr>
        <w:t>V případě držení psa po dobu kratší než jeden rok se platí poplatek v poměrné výši,</w:t>
      </w:r>
      <w:r w:rsidR="00B26E7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B26E7F">
        <w:rPr>
          <w:rFonts w:ascii="Arial" w:eastAsia="Times New Roman" w:hAnsi="Arial" w:cs="Arial"/>
          <w:kern w:val="0"/>
          <w:lang w:eastAsia="cs-CZ"/>
          <w14:ligatures w14:val="none"/>
        </w:rPr>
        <w:t>která odpovídá počtu i započatých kalendářních měsíců. Při změně místa trvalého</w:t>
      </w:r>
      <w:r w:rsidR="00B26E7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B26E7F">
        <w:rPr>
          <w:rFonts w:ascii="Arial" w:eastAsia="Times New Roman" w:hAnsi="Arial" w:cs="Arial"/>
          <w:kern w:val="0"/>
          <w:lang w:eastAsia="cs-CZ"/>
          <w14:ligatures w14:val="none"/>
        </w:rPr>
        <w:t>pobytu nebo sídla platí držitel psa poplatek od počátku kalendářního měsíce</w:t>
      </w:r>
      <w:r w:rsidR="00B26E7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B26E7F">
        <w:rPr>
          <w:rFonts w:ascii="Arial" w:eastAsia="Times New Roman" w:hAnsi="Arial" w:cs="Arial"/>
          <w:kern w:val="0"/>
          <w:lang w:eastAsia="cs-CZ"/>
          <w14:ligatures w14:val="none"/>
        </w:rPr>
        <w:t>následujícího po měsíci, ve kterém změna nastala, nově příslušné obci.</w:t>
      </w:r>
      <w:r w:rsidR="00B26E7F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4"/>
      </w:r>
    </w:p>
    <w:p w14:paraId="4EDED41B" w14:textId="2FD1E880" w:rsidR="008F2808" w:rsidRPr="00B26E7F" w:rsidRDefault="008F2808" w:rsidP="00E32BD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26E7F">
        <w:rPr>
          <w:rFonts w:ascii="Arial" w:eastAsia="Times New Roman" w:hAnsi="Arial" w:cs="Arial"/>
          <w:kern w:val="0"/>
          <w:lang w:eastAsia="cs-CZ"/>
          <w14:ligatures w14:val="none"/>
        </w:rPr>
        <w:t>Poplatková povinnost zaniká dnem, kdy přestala být fyzická nebo právnická osoba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B26E7F">
        <w:rPr>
          <w:rFonts w:ascii="Arial" w:eastAsia="Times New Roman" w:hAnsi="Arial" w:cs="Arial"/>
          <w:kern w:val="0"/>
          <w:lang w:eastAsia="cs-CZ"/>
          <w14:ligatures w14:val="none"/>
        </w:rPr>
        <w:t>držitelem psa (např. úhynem psa, jeho ztrátou, darováním nebo prodejem), přičemž se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B26E7F">
        <w:rPr>
          <w:rFonts w:ascii="Arial" w:eastAsia="Times New Roman" w:hAnsi="Arial" w:cs="Arial"/>
          <w:kern w:val="0"/>
          <w:lang w:eastAsia="cs-CZ"/>
          <w14:ligatures w14:val="none"/>
        </w:rPr>
        <w:t>poplatek platí i za započatý kalendářní měsíc, ve kterém taková skutečnost nastala.</w:t>
      </w:r>
    </w:p>
    <w:p w14:paraId="557BF5DC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F93E1E6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lastRenderedPageBreak/>
        <w:t>Čl. 4</w:t>
      </w:r>
    </w:p>
    <w:p w14:paraId="374DFA64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997886E" w14:textId="77777777" w:rsidR="00E32BD4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Ohlašovací povinnost</w:t>
      </w:r>
    </w:p>
    <w:p w14:paraId="5495A7BF" w14:textId="77777777" w:rsidR="00E32BD4" w:rsidRDefault="008F2808" w:rsidP="00E32BD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Držitel psa je povinen ohlásit správci poplatku vznik své poplatkové povinnosti do 15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dnů ode dne jejího vzniku. Ve stejné lhůtě je povinen ohlásit také zánik své poplatkové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povinnosti.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708C89B3" w14:textId="77777777" w:rsidR="00E32BD4" w:rsidRDefault="008F2808" w:rsidP="00E32BD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Povinnost ohlásit držení psa má i osoba, která je od poplatku osvobozena.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458B8CE5" w14:textId="36117B90" w:rsidR="008F2808" w:rsidRPr="00E32BD4" w:rsidRDefault="008F2808" w:rsidP="00E32BD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Při plnění ohlašovací povinnosti je držitel psa povinen sdělit správci poplatku údaje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stanovené v čl. 19 této vyhlášky.</w:t>
      </w:r>
    </w:p>
    <w:p w14:paraId="15A8FA5F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E99C570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5</w:t>
      </w:r>
    </w:p>
    <w:p w14:paraId="3C3812A2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E8C04CC" w14:textId="77777777" w:rsidR="00E32BD4" w:rsidRDefault="008F2808" w:rsidP="002A2568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Sazba poplatku</w:t>
      </w:r>
    </w:p>
    <w:p w14:paraId="0A0CAF8D" w14:textId="77777777" w:rsidR="00E32BD4" w:rsidRDefault="008F2808" w:rsidP="00E32BD4">
      <w:pPr>
        <w:pStyle w:val="Odstavecseseznamem"/>
        <w:numPr>
          <w:ilvl w:val="0"/>
          <w:numId w:val="9"/>
        </w:numPr>
        <w:spacing w:after="24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Sazba poplatku činí ročně: za prvního psa za každého dalšího psa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téhož držitele</w:t>
      </w:r>
    </w:p>
    <w:p w14:paraId="4FE0DAE1" w14:textId="77777777" w:rsidR="00E32BD4" w:rsidRDefault="00E32BD4" w:rsidP="00E32BD4">
      <w:pPr>
        <w:pStyle w:val="Odstavecseseznamem"/>
        <w:numPr>
          <w:ilvl w:val="0"/>
          <w:numId w:val="9"/>
        </w:numPr>
        <w:spacing w:after="24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82471AA" w14:textId="52FB880E" w:rsidR="00E32BD4" w:rsidRDefault="008F2808" w:rsidP="00E32BD4">
      <w:pPr>
        <w:pStyle w:val="Odstavecseseznamem"/>
        <w:numPr>
          <w:ilvl w:val="1"/>
          <w:numId w:val="9"/>
        </w:numPr>
        <w:spacing w:after="24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v rodinném domě: ...................... 300,- Kč ........................................ 450,- Kč</w:t>
      </w:r>
    </w:p>
    <w:p w14:paraId="0F973E51" w14:textId="77777777" w:rsidR="00E32BD4" w:rsidRDefault="008F2808" w:rsidP="00E32BD4">
      <w:pPr>
        <w:pStyle w:val="Odstavecseseznamem"/>
        <w:numPr>
          <w:ilvl w:val="1"/>
          <w:numId w:val="9"/>
        </w:numPr>
        <w:spacing w:after="24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v bytovém domě: ....................... 450,- Kč ......................................... 600,- Kč</w:t>
      </w:r>
    </w:p>
    <w:p w14:paraId="15F916DF" w14:textId="17A19015" w:rsidR="008F2808" w:rsidRPr="008F2808" w:rsidRDefault="008F2808" w:rsidP="00B709A8">
      <w:pPr>
        <w:pStyle w:val="Odstavecseseznamem"/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poživatel invalidního,</w:t>
      </w:r>
      <w:r w:rsidR="00E32BD4" w:rsidRP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starobního, vdovského</w:t>
      </w:r>
      <w:r w:rsidR="00E32BD4" w:rsidRP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nebo vdoveckého důchodu,</w:t>
      </w:r>
      <w:r w:rsidR="00E32BD4" w:rsidRP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který je jeho jediným</w:t>
      </w:r>
      <w:r w:rsidR="00E32BD4" w:rsidRP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zdrojem příjmů, anebo</w:t>
      </w:r>
      <w:r w:rsidR="00E32BD4" w:rsidRP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poživatel sirotčího důchodu: </w:t>
      </w:r>
      <w:r w:rsidR="00E32BD4" w:rsidRPr="00E32BD4">
        <w:rPr>
          <w:rFonts w:ascii="Arial" w:eastAsia="Times New Roman" w:hAnsi="Arial" w:cs="Arial"/>
          <w:kern w:val="0"/>
          <w:lang w:eastAsia="cs-CZ"/>
          <w14:ligatures w14:val="none"/>
        </w:rPr>
        <w:t>…………………………………..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. 150,- Kč .......................................... 300,- Kč</w:t>
      </w:r>
    </w:p>
    <w:p w14:paraId="12BC39BF" w14:textId="77777777" w:rsidR="00E32BD4" w:rsidRDefault="00E32BD4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0FEF2C3A" w14:textId="2C2140B5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6</w:t>
      </w:r>
    </w:p>
    <w:p w14:paraId="65805DEC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FB9BBF9" w14:textId="77777777" w:rsidR="00E32BD4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Splatnost poplatku</w:t>
      </w:r>
    </w:p>
    <w:p w14:paraId="6F6B9190" w14:textId="77777777" w:rsidR="00E32BD4" w:rsidRDefault="008F2808" w:rsidP="00E32BD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Poplatek je splatný nejpozději do 28. února příslušného kalendářního roku.</w:t>
      </w:r>
    </w:p>
    <w:p w14:paraId="08A01110" w14:textId="7C3BEC5B" w:rsidR="008F2808" w:rsidRPr="00E32BD4" w:rsidRDefault="008F2808" w:rsidP="00E32BD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Vznikne-li poplatková povinnost po datu splatnosti uvedeném v odstavci 1, je poplatek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splatný nejpozději do 15. dne měsíce, který následuje po měsíci, ve kterém poplatková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povinnost vznikla, nejpozději však do konce příslušného kalendářního roku.</w:t>
      </w:r>
    </w:p>
    <w:p w14:paraId="7FBB3C9E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D11873D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7</w:t>
      </w:r>
    </w:p>
    <w:p w14:paraId="347E0328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37644750" w14:textId="77777777" w:rsidR="00E32BD4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Osvobození</w:t>
      </w:r>
    </w:p>
    <w:p w14:paraId="0D6DA22D" w14:textId="77777777" w:rsidR="00E32BD4" w:rsidRDefault="008F2808" w:rsidP="00E32BD4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Od poplatku ze psů je osvobozen držitel psa, kterým je osoba nevidomá, bezmocná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a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osoba s těžkým zdravotním postižením, které byl přiznán III. stupeň mimořádných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výhod podle zvláštního právního předpisu, osoba provádějící výcvik psů určených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k doprovodu těchto osob, osoba provozující útulek zřízený obcí pro ztracené nebo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opuštěné psy nebo osoba, které stanoví povinnost držení a používání psa zvláštní právní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předpis.</w:t>
      </w:r>
      <w:r w:rsidR="00E32BD4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5"/>
      </w:r>
    </w:p>
    <w:p w14:paraId="4C977748" w14:textId="77777777" w:rsidR="00E32BD4" w:rsidRDefault="008F2808" w:rsidP="00E32BD4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Od poplatku je dále osvobozena:</w:t>
      </w:r>
    </w:p>
    <w:p w14:paraId="403A6D79" w14:textId="1D32B8FA" w:rsidR="00E32BD4" w:rsidRDefault="008F2808" w:rsidP="00E32BD4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osoba, která převzala psa útulku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to po dobu jednoho kalendářního roku,</w:t>
      </w:r>
    </w:p>
    <w:p w14:paraId="420A24C9" w14:textId="77777777" w:rsidR="00E32BD4" w:rsidRDefault="008F2808" w:rsidP="00E32BD4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člen organizovaný v kynologickém klubu, který se psem složil zkoušku základního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minima</w:t>
      </w:r>
    </w:p>
    <w:p w14:paraId="010D527E" w14:textId="77777777" w:rsidR="00E32BD4" w:rsidRDefault="008F2808" w:rsidP="00E32BD4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Nárok na osvobození je poplatník povinen správci poplatku prokázat vždy do 28. února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příslušného kalendářního roku.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614BE0C2" w14:textId="0251AB2B" w:rsidR="008F2808" w:rsidRPr="00E32BD4" w:rsidRDefault="008F2808" w:rsidP="00E32BD4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Vznikne-li nárok na osvobození po datu uvedeném v odstavci 3, je poplatník nárok na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osvobození povinen prokázat správci poplatku nejpozději do 15. dne měsíce, který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následuje po měsíci, ve kterém poplatková povinnost vznikla, nejpozději však do konce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příslušného kalendářního roku.</w:t>
      </w:r>
    </w:p>
    <w:p w14:paraId="36FA5A67" w14:textId="77777777" w:rsid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BA79BD4" w14:textId="77777777" w:rsidR="00E32BD4" w:rsidRDefault="00E32BD4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9A12E74" w14:textId="77777777" w:rsidR="00E32BD4" w:rsidRDefault="00E32BD4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F95FCD5" w14:textId="77777777" w:rsidR="00E32BD4" w:rsidRDefault="00E32BD4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D9629CB" w14:textId="77777777" w:rsidR="00E32BD4" w:rsidRDefault="00E32BD4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A40A93B" w14:textId="77777777" w:rsidR="00E32BD4" w:rsidRPr="008F2808" w:rsidRDefault="00E32BD4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D6AF8C9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ČÁST TŘETÍ</w:t>
      </w:r>
    </w:p>
    <w:p w14:paraId="4BD708EA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POPLATEK ZA UŽÍVÁNÍ VEŘEJNÉHO PROSTRANSTVÍ</w:t>
      </w:r>
    </w:p>
    <w:p w14:paraId="137DE74E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601F5D32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8</w:t>
      </w:r>
    </w:p>
    <w:p w14:paraId="2E473A68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6C5CD701" w14:textId="77777777" w:rsidR="00E32BD4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Předmět poplatku, poplatník</w:t>
      </w:r>
      <w:r w:rsidR="00E32BD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</w:p>
    <w:p w14:paraId="0BC5454B" w14:textId="77777777" w:rsidR="00E32BD4" w:rsidRDefault="008F2808" w:rsidP="00E32BD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Poplatek za užívání veřejného prostranství se vybírá za zvláštní užívání veřejného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prostranství, kterým se rozumí provádění výkopových prací, umístění dočasných staveb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a zařízení sloužících pro poskytování prodeje a služeb, pro umístění stavebních nebo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reklamních zařízení, zařízení cirkusů, lunaparků a jiných obdobných atrakcí, umístění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skládek, vyhrazení trvalého parkovacího místa a užívání tohoto prostranství pro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kulturní, sportovní a reklamní akce nebo potřeby tvorby filmových a televizních děl.</w:t>
      </w:r>
      <w:r w:rsidR="00E32BD4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6"/>
      </w:r>
    </w:p>
    <w:p w14:paraId="7D986931" w14:textId="750B8786" w:rsidR="008F2808" w:rsidRPr="00E32BD4" w:rsidRDefault="008F2808" w:rsidP="00E32BD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Poplatek za užívání veřejného prostranství platí fyzické i právnické osoby, které užívají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32BD4">
        <w:rPr>
          <w:rFonts w:ascii="Arial" w:eastAsia="Times New Roman" w:hAnsi="Arial" w:cs="Arial"/>
          <w:kern w:val="0"/>
          <w:lang w:eastAsia="cs-CZ"/>
          <w14:ligatures w14:val="none"/>
        </w:rPr>
        <w:t>veřejné prostranství způsobem uvedeným v odstavci 1.</w:t>
      </w:r>
      <w:r w:rsidR="00674D38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7"/>
      </w:r>
    </w:p>
    <w:p w14:paraId="5B086C98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D3ADD5B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9</w:t>
      </w:r>
    </w:p>
    <w:p w14:paraId="064AD99C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7CB1CF3" w14:textId="77777777" w:rsidR="00E32BD4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Vymezení veřejných prostranství</w:t>
      </w:r>
    </w:p>
    <w:p w14:paraId="008AD85E" w14:textId="260DF437" w:rsidR="008F2808" w:rsidRPr="008F2808" w:rsidRDefault="008F2808" w:rsidP="00E32BD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Poplatek podle této vyhlášky se platí za užívání veřejných prostranství, která jsou</w:t>
      </w:r>
      <w:r w:rsidR="00E32B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uvedena v příloze č. 1, která tvoří nedílnou součást této vyhlášky.</w:t>
      </w:r>
    </w:p>
    <w:p w14:paraId="699B4571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4C40235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10</w:t>
      </w:r>
    </w:p>
    <w:p w14:paraId="6E955762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1E8BF48" w14:textId="77777777" w:rsidR="00674D3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Vznik a zánik poplatkové povinnosti</w:t>
      </w:r>
    </w:p>
    <w:p w14:paraId="72464A47" w14:textId="2F0C04A6" w:rsidR="008F2808" w:rsidRPr="008F2808" w:rsidRDefault="008F2808" w:rsidP="00674D3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Poplatek se platí od prvého dne, kdy začalo užívání veřejného prostranství, až do dne,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kdy toto užívání fakticky skončilo.</w:t>
      </w:r>
    </w:p>
    <w:p w14:paraId="0D9C736B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6047975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11</w:t>
      </w:r>
    </w:p>
    <w:p w14:paraId="34B45013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7CFCAB93" w14:textId="77777777" w:rsidR="00674D3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Ohlašovací povinnost</w:t>
      </w:r>
    </w:p>
    <w:p w14:paraId="4139CC32" w14:textId="77777777" w:rsidR="00674D38" w:rsidRDefault="008F2808" w:rsidP="00674D38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Poplatník je povinen ohlásit správci poplatku nejpozději 5 dní před zahájením užívání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veřejného prostranství předpokládanou dobu, místo, způsob a výměru užívání veřejného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prostranství. V případě užívání veřejného prostranství po dobu kratší než 5 dní je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poplatník povinen splnit ohlašovací povinnost nejpozději v den zahájení užívání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veřejného prostranství. Pokud tento den připadne na sobotu, neděli nebo státem uznaný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svátek, je poplatník povinen splnit ohlašovací povinnost nejblíže následující pracovní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den.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2524237A" w14:textId="77777777" w:rsidR="00674D38" w:rsidRDefault="008F2808" w:rsidP="00674D38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Poplatník je dále povinen ohlásit správci poplatku další údaje stanovené v čl. 19 této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vyhlášky.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0470C930" w14:textId="05A82DF9" w:rsidR="008F2808" w:rsidRPr="00674D38" w:rsidRDefault="008F2808" w:rsidP="00674D38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Po ukončení užívání veřejného prostranství je poplatník povinen ohlásit skutečný stav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údajů uvedených v odst. 1 nejpozději do 15 dnů.</w:t>
      </w:r>
    </w:p>
    <w:p w14:paraId="75E2F992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F8D4CA7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12</w:t>
      </w:r>
    </w:p>
    <w:p w14:paraId="0AC26AD4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68D896D9" w14:textId="77777777" w:rsidR="00674D3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Sazba poplatku</w:t>
      </w:r>
      <w:r w:rsidR="00674D3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</w:p>
    <w:p w14:paraId="3F3BF32A" w14:textId="77777777" w:rsidR="00674D38" w:rsidRDefault="008F2808" w:rsidP="00674D38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Sazba poplatku činí za každý i započatý m2 a každý i započatý den: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421F77EB" w14:textId="77777777" w:rsidR="00674D38" w:rsidRDefault="008F2808" w:rsidP="00674D3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za umístění dočasné stavby sloužící pro poskytování prodeje ............ 10,- Kč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31859A75" w14:textId="77777777" w:rsidR="00674D38" w:rsidRDefault="008F2808" w:rsidP="00674D3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za umístění dočasné stavby sloužící pro poskytování služeb .............. 10,- Kč</w:t>
      </w:r>
    </w:p>
    <w:p w14:paraId="139D42AA" w14:textId="77777777" w:rsidR="00674D38" w:rsidRDefault="008F2808" w:rsidP="00674D3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za umístění zařízení sloužícího pro poskytování prodeje ..................... 50,- Kč</w:t>
      </w:r>
    </w:p>
    <w:p w14:paraId="54F7B7D4" w14:textId="77777777" w:rsidR="00674D38" w:rsidRDefault="008F2808" w:rsidP="00674D3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za umístění zařízení sloužícího pro poskytování služeb ...................... 10,- Kč</w:t>
      </w:r>
    </w:p>
    <w:p w14:paraId="7DDE3200" w14:textId="37C3A56B" w:rsidR="00674D38" w:rsidRDefault="008F2808" w:rsidP="00674D3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za umístění stavebního zařízení ............................................................ 2,- Kč</w:t>
      </w:r>
    </w:p>
    <w:p w14:paraId="132A15FB" w14:textId="77777777" w:rsidR="00674D38" w:rsidRDefault="008F2808" w:rsidP="00674D3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za umístění reklamního zařízení .......................................................... 50,- Kč</w:t>
      </w:r>
    </w:p>
    <w:p w14:paraId="72C609C0" w14:textId="77777777" w:rsidR="00674D38" w:rsidRDefault="008F2808" w:rsidP="00674D3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za umístění a provoz lunaparků, cirkusů a jiných obdobných zařízení  10,- Kč</w:t>
      </w:r>
    </w:p>
    <w:p w14:paraId="180C77AF" w14:textId="77777777" w:rsidR="00674D38" w:rsidRDefault="008F2808" w:rsidP="00674D3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h) za umístění skládek ........................................................................... 5,- Kč</w:t>
      </w:r>
    </w:p>
    <w:p w14:paraId="0C067DCB" w14:textId="0ABBC9CB" w:rsidR="00674D38" w:rsidRDefault="008F2808" w:rsidP="00674D3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za užívání veřejného prostranství pro reklamní akce .......................... 10,- Kč</w:t>
      </w:r>
    </w:p>
    <w:p w14:paraId="509188C6" w14:textId="77777777" w:rsidR="00674D38" w:rsidRDefault="008F2808" w:rsidP="00674D38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Poplatek se neplatí: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3B0D9114" w14:textId="277EEA33" w:rsidR="00674D38" w:rsidRDefault="008F2808" w:rsidP="00674D3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za vyhrazení trvalého parkovacího místa pro osobu zdravotně postiženou</w:t>
      </w:r>
      <w:r w:rsidR="00674D38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8"/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</w:p>
    <w:p w14:paraId="5F88F76B" w14:textId="5DB45717" w:rsidR="008F2808" w:rsidRPr="00674D38" w:rsidRDefault="008F2808" w:rsidP="00674D3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z akcí pořádaných na veřejném prostranství, jejichž výtěžek je určen na charitativní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a veřejně prospěšné účely</w:t>
      </w:r>
      <w:r w:rsidR="00674D38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9"/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2488AAC0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A0B4A4A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13</w:t>
      </w:r>
    </w:p>
    <w:p w14:paraId="0E2DB7C0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77C5F0C5" w14:textId="77777777" w:rsidR="00674D3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Splatnost poplatku</w:t>
      </w:r>
    </w:p>
    <w:p w14:paraId="38F48BAE" w14:textId="77777777" w:rsidR="00674D38" w:rsidRPr="00674D38" w:rsidRDefault="008F2808" w:rsidP="00674D3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Poplatek je splatný:</w:t>
      </w:r>
    </w:p>
    <w:p w14:paraId="43407C55" w14:textId="77777777" w:rsidR="00674D38" w:rsidRPr="00674D38" w:rsidRDefault="008F2808" w:rsidP="00674D38">
      <w:pPr>
        <w:pStyle w:val="Odstavecseseznamem"/>
        <w:numPr>
          <w:ilvl w:val="1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při užívání veřejného prostranství po dobu 5 dnů a méně nejpozději v den, kdy bylo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s užíváním veřejného prostranství započato,</w:t>
      </w:r>
    </w:p>
    <w:p w14:paraId="7AD1DA0E" w14:textId="77777777" w:rsidR="00674D38" w:rsidRPr="00674D38" w:rsidRDefault="008F2808" w:rsidP="00674D38">
      <w:pPr>
        <w:pStyle w:val="Odstavecseseznamem"/>
        <w:numPr>
          <w:ilvl w:val="1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při užívání veřejného prostranství po dobu delší než 5 dnů nejpozději v den, kdy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užívání veřejného prostranství skončilo.</w:t>
      </w:r>
    </w:p>
    <w:p w14:paraId="1877FD51" w14:textId="77777777" w:rsidR="00674D38" w:rsidRPr="00674D38" w:rsidRDefault="008F2808" w:rsidP="00674D3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Připadne-li lhůta splatnosti na sobotu, neděli nebo státem uznaný svátek, je dnem, ve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kterém je poplatník povinen svoji povinnost splnit, nejblíže následující pracovní den.</w:t>
      </w:r>
    </w:p>
    <w:p w14:paraId="325F4DEF" w14:textId="77777777" w:rsidR="00674D38" w:rsidRDefault="00674D38" w:rsidP="00674D38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16EBA6A" w14:textId="77777777" w:rsidR="00674D38" w:rsidRDefault="00674D38" w:rsidP="00674D38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1B47B5E" w14:textId="77777777" w:rsidR="00674D38" w:rsidRDefault="008F2808" w:rsidP="00674D38">
      <w:pPr>
        <w:pStyle w:val="Odstavecseseznamem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ČÁST ČTVRTÁ</w:t>
      </w:r>
    </w:p>
    <w:p w14:paraId="0AEF0371" w14:textId="69D7AA7D" w:rsidR="008F2808" w:rsidRPr="00674D38" w:rsidRDefault="008F2808" w:rsidP="00674D38">
      <w:pPr>
        <w:pStyle w:val="Odstavecseseznamem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POPLATEK ZE VSTUPNÉHO</w:t>
      </w:r>
    </w:p>
    <w:p w14:paraId="0E63AC7E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20DD1838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14</w:t>
      </w:r>
    </w:p>
    <w:p w14:paraId="5CF6E9E5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324BF196" w14:textId="77777777" w:rsidR="00674D38" w:rsidRDefault="008F2808" w:rsidP="002A2568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Předmět poplatku a poplatník</w:t>
      </w:r>
    </w:p>
    <w:p w14:paraId="71FD29A3" w14:textId="77777777" w:rsidR="00674D38" w:rsidRDefault="008F2808" w:rsidP="00674D38">
      <w:pPr>
        <w:pStyle w:val="Odstavecseseznamem"/>
        <w:numPr>
          <w:ilvl w:val="0"/>
          <w:numId w:val="23"/>
        </w:numPr>
        <w:spacing w:after="24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Poplatek ze vstupného se vybírá ze vstupného na kulturní, prodejní nebo reklamní akce,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sníženého o daň z přidané hodnoty, je-li v ceně vstupného obsažena. Vstupným se</w:t>
      </w:r>
      <w:r w:rsidR="00674D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rozumí peněžitá částka, kterou účastník akce zaplatí za to, že se jí může zúčastnit.</w:t>
      </w:r>
      <w:r w:rsidR="00674D38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10"/>
      </w:r>
    </w:p>
    <w:p w14:paraId="0777CFF6" w14:textId="0319B875" w:rsidR="008F2808" w:rsidRDefault="008F2808" w:rsidP="00674D38">
      <w:pPr>
        <w:pStyle w:val="Odstavecseseznamem"/>
        <w:numPr>
          <w:ilvl w:val="0"/>
          <w:numId w:val="23"/>
        </w:numPr>
        <w:spacing w:after="24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Poplatek ze vstupného platí fyzické a právnické osoby, které akci pořádají.</w:t>
      </w:r>
      <w:r w:rsidR="00674D38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11"/>
      </w:r>
    </w:p>
    <w:p w14:paraId="22E5B94C" w14:textId="77777777" w:rsidR="00674D38" w:rsidRPr="00674D38" w:rsidRDefault="00674D38" w:rsidP="00674D38">
      <w:pPr>
        <w:pStyle w:val="Odstavecseseznamem"/>
        <w:spacing w:after="24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A71B4B6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72E6144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15</w:t>
      </w:r>
    </w:p>
    <w:p w14:paraId="69563B8D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4B8A5CC1" w14:textId="77777777" w:rsidR="00752B70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Ohlašovací povinnost</w:t>
      </w:r>
    </w:p>
    <w:p w14:paraId="03E1F159" w14:textId="77777777" w:rsidR="00752B70" w:rsidRDefault="008F2808" w:rsidP="00752B70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52B70">
        <w:rPr>
          <w:rFonts w:ascii="Arial" w:eastAsia="Times New Roman" w:hAnsi="Arial" w:cs="Arial"/>
          <w:kern w:val="0"/>
          <w:lang w:eastAsia="cs-CZ"/>
          <w14:ligatures w14:val="none"/>
        </w:rPr>
        <w:t>Poplatník je nejpozději 21 dnů před konáním akce povinen ohlásit správci poplatku druh</w:t>
      </w:r>
      <w:r w:rsidR="00752B7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52B70">
        <w:rPr>
          <w:rFonts w:ascii="Arial" w:eastAsia="Times New Roman" w:hAnsi="Arial" w:cs="Arial"/>
          <w:kern w:val="0"/>
          <w:lang w:eastAsia="cs-CZ"/>
          <w14:ligatures w14:val="none"/>
        </w:rPr>
        <w:t>akce, datum a hodinu jejího konání, výši vstupného a další údaje podle čl. 19 této</w:t>
      </w:r>
      <w:r w:rsidR="00752B7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52B70">
        <w:rPr>
          <w:rFonts w:ascii="Arial" w:eastAsia="Times New Roman" w:hAnsi="Arial" w:cs="Arial"/>
          <w:kern w:val="0"/>
          <w:lang w:eastAsia="cs-CZ"/>
          <w14:ligatures w14:val="none"/>
        </w:rPr>
        <w:t>vyhlášky.</w:t>
      </w:r>
      <w:r w:rsidR="00752B7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2C3785DD" w14:textId="53AB3D50" w:rsidR="008F2808" w:rsidRPr="00752B70" w:rsidRDefault="008F2808" w:rsidP="00752B70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52B70">
        <w:rPr>
          <w:rFonts w:ascii="Arial" w:eastAsia="Times New Roman" w:hAnsi="Arial" w:cs="Arial"/>
          <w:kern w:val="0"/>
          <w:lang w:eastAsia="cs-CZ"/>
          <w14:ligatures w14:val="none"/>
        </w:rPr>
        <w:t>Do 15 dnů po skončení akce je poplatník povinen ohlásit správci poplatku celkovou</w:t>
      </w:r>
      <w:r w:rsidR="00752B7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52B70">
        <w:rPr>
          <w:rFonts w:ascii="Arial" w:eastAsia="Times New Roman" w:hAnsi="Arial" w:cs="Arial"/>
          <w:kern w:val="0"/>
          <w:lang w:eastAsia="cs-CZ"/>
          <w14:ligatures w14:val="none"/>
        </w:rPr>
        <w:t>výši vybraného vstupného sníženou o daň z přidané hodnoty, jestliže byla v</w:t>
      </w:r>
      <w:r w:rsidR="00752B70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752B70">
        <w:rPr>
          <w:rFonts w:ascii="Arial" w:eastAsia="Times New Roman" w:hAnsi="Arial" w:cs="Arial"/>
          <w:kern w:val="0"/>
          <w:lang w:eastAsia="cs-CZ"/>
          <w14:ligatures w14:val="none"/>
        </w:rPr>
        <w:t>ceně</w:t>
      </w:r>
      <w:r w:rsidR="00752B7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52B70">
        <w:rPr>
          <w:rFonts w:ascii="Arial" w:eastAsia="Times New Roman" w:hAnsi="Arial" w:cs="Arial"/>
          <w:kern w:val="0"/>
          <w:lang w:eastAsia="cs-CZ"/>
          <w14:ligatures w14:val="none"/>
        </w:rPr>
        <w:t>vstupného obsažena.</w:t>
      </w:r>
    </w:p>
    <w:p w14:paraId="69172981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8A018E0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16</w:t>
      </w:r>
    </w:p>
    <w:p w14:paraId="70E70923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3FD40318" w14:textId="77777777" w:rsidR="00752B70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Sazba poplatku</w:t>
      </w:r>
    </w:p>
    <w:p w14:paraId="2767B177" w14:textId="77777777" w:rsidR="00752B70" w:rsidRDefault="008F2808" w:rsidP="00752B7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52B70">
        <w:rPr>
          <w:rFonts w:ascii="Arial" w:eastAsia="Times New Roman" w:hAnsi="Arial" w:cs="Arial"/>
          <w:kern w:val="0"/>
          <w:lang w:eastAsia="cs-CZ"/>
          <w14:ligatures w14:val="none"/>
        </w:rPr>
        <w:t>Sazba poplatku činí z vybraného vstupného na:</w:t>
      </w:r>
      <w:r w:rsidR="00752B7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1F552744" w14:textId="77777777" w:rsidR="00752B70" w:rsidRDefault="008F2808" w:rsidP="00752B70">
      <w:pPr>
        <w:pStyle w:val="Odstavecseseznamem"/>
        <w:numPr>
          <w:ilvl w:val="1"/>
          <w:numId w:val="2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52B70">
        <w:rPr>
          <w:rFonts w:ascii="Arial" w:eastAsia="Times New Roman" w:hAnsi="Arial" w:cs="Arial"/>
          <w:kern w:val="0"/>
          <w:lang w:eastAsia="cs-CZ"/>
          <w14:ligatures w14:val="none"/>
        </w:rPr>
        <w:t>kulturní akci ...............................… 20 %,</w:t>
      </w:r>
      <w:r w:rsidR="00752B7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554AE9BA" w14:textId="0EA4D785" w:rsidR="00752B70" w:rsidRDefault="008F2808" w:rsidP="00752B70">
      <w:pPr>
        <w:pStyle w:val="Odstavecseseznamem"/>
        <w:numPr>
          <w:ilvl w:val="1"/>
          <w:numId w:val="2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52B70">
        <w:rPr>
          <w:rFonts w:ascii="Arial" w:eastAsia="Times New Roman" w:hAnsi="Arial" w:cs="Arial"/>
          <w:kern w:val="0"/>
          <w:lang w:eastAsia="cs-CZ"/>
          <w14:ligatures w14:val="none"/>
        </w:rPr>
        <w:t>prodejní akci ................................. 10 %,</w:t>
      </w:r>
      <w:r w:rsidR="00752B7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54522EAB" w14:textId="77777777" w:rsidR="00752B70" w:rsidRDefault="008F2808" w:rsidP="00752B70">
      <w:pPr>
        <w:pStyle w:val="Odstavecseseznamem"/>
        <w:numPr>
          <w:ilvl w:val="1"/>
          <w:numId w:val="2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52B70">
        <w:rPr>
          <w:rFonts w:ascii="Arial" w:eastAsia="Times New Roman" w:hAnsi="Arial" w:cs="Arial"/>
          <w:kern w:val="0"/>
          <w:lang w:eastAsia="cs-CZ"/>
          <w14:ligatures w14:val="none"/>
        </w:rPr>
        <w:t>reklamní akci .............................… 20 %.</w:t>
      </w:r>
    </w:p>
    <w:p w14:paraId="6A5673A8" w14:textId="627238DA" w:rsidR="008F2808" w:rsidRPr="00752B70" w:rsidRDefault="008F2808" w:rsidP="00752B7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52B70">
        <w:rPr>
          <w:rFonts w:ascii="Arial" w:eastAsia="Times New Roman" w:hAnsi="Arial" w:cs="Arial"/>
          <w:kern w:val="0"/>
          <w:lang w:eastAsia="cs-CZ"/>
          <w14:ligatures w14:val="none"/>
        </w:rPr>
        <w:t>V případě, že na jednu akci bude možné vztáhnout více poplatkových sazeb, platí se</w:t>
      </w:r>
      <w:r w:rsidR="00752B7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52B70">
        <w:rPr>
          <w:rFonts w:ascii="Arial" w:eastAsia="Times New Roman" w:hAnsi="Arial" w:cs="Arial"/>
          <w:kern w:val="0"/>
          <w:lang w:eastAsia="cs-CZ"/>
          <w14:ligatures w14:val="none"/>
        </w:rPr>
        <w:t>pouze poplatek s nejvyšší sazbou.</w:t>
      </w:r>
    </w:p>
    <w:p w14:paraId="119FDC42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CD19CDA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17</w:t>
      </w:r>
    </w:p>
    <w:p w14:paraId="507B3EF8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2853A883" w14:textId="77777777" w:rsidR="007332E0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Splatnost poplatku</w:t>
      </w:r>
    </w:p>
    <w:p w14:paraId="232B9FE4" w14:textId="12F6FCF9" w:rsidR="008F2808" w:rsidRPr="008F2808" w:rsidRDefault="008F2808" w:rsidP="007332E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Poplatek je splatný do 15 dnů ode dne skončení akce.</w:t>
      </w:r>
    </w:p>
    <w:p w14:paraId="5BA1A19A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2C17E7D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18</w:t>
      </w:r>
    </w:p>
    <w:p w14:paraId="341E70AE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780585C6" w14:textId="77777777" w:rsidR="007332E0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Osvobození a úlevy</w:t>
      </w:r>
    </w:p>
    <w:p w14:paraId="1BAF170C" w14:textId="77777777" w:rsidR="007332E0" w:rsidRDefault="008F2808" w:rsidP="007332E0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Poplatek ze vstupného se neplatí z akcí, jejichž celý výtěžek je určen na charitativní</w:t>
      </w:r>
      <w:r w:rsidR="007332E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a</w:t>
      </w:r>
      <w:r w:rsidR="007332E0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veřejné prospěšné účely.</w:t>
      </w:r>
      <w:r w:rsidR="007332E0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12"/>
      </w:r>
    </w:p>
    <w:p w14:paraId="7558ED47" w14:textId="77777777" w:rsidR="007332E0" w:rsidRDefault="008F2808" w:rsidP="007332E0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Od poplatku se dále osvobozují:</w:t>
      </w:r>
    </w:p>
    <w:p w14:paraId="6ABD0CAF" w14:textId="77777777" w:rsidR="007332E0" w:rsidRDefault="008F2808" w:rsidP="007332E0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sportovní akce všeho druhu</w:t>
      </w:r>
    </w:p>
    <w:p w14:paraId="24C9024C" w14:textId="77777777" w:rsidR="007332E0" w:rsidRDefault="008F2808" w:rsidP="007332E0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filmová představení ve zdejším kině</w:t>
      </w:r>
    </w:p>
    <w:p w14:paraId="6C91F1E7" w14:textId="77777777" w:rsidR="007332E0" w:rsidRDefault="008F2808" w:rsidP="007332E0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kulturní akce všeho druhu vyjma tanečních zábav a diskoték (např. koncerty,</w:t>
      </w:r>
      <w:r w:rsidR="007332E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estrády, divadelní představení)</w:t>
      </w:r>
    </w:p>
    <w:p w14:paraId="3272BEDB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7109DD7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384297B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ČÁST PÁTÁ</w:t>
      </w:r>
    </w:p>
    <w:p w14:paraId="10382E93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USTANOVENÍ SPOLEČNÁ A ZÁVEREČNÁ</w:t>
      </w:r>
    </w:p>
    <w:p w14:paraId="565F7D8A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2860038E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19</w:t>
      </w:r>
    </w:p>
    <w:p w14:paraId="0675320F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69D04713" w14:textId="77777777" w:rsidR="007332E0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Společná ustanovení k ohlašovací povinnosti</w:t>
      </w:r>
    </w:p>
    <w:p w14:paraId="038DC5C6" w14:textId="77777777" w:rsidR="007332E0" w:rsidRDefault="008F2808" w:rsidP="007332E0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V ohlášení poplatník nebo plátce uvede:</w:t>
      </w:r>
      <w:r w:rsidR="007332E0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13"/>
      </w:r>
    </w:p>
    <w:p w14:paraId="376FC5BA" w14:textId="77777777" w:rsidR="00096847" w:rsidRDefault="008F2808" w:rsidP="007332E0">
      <w:pPr>
        <w:pStyle w:val="Odstavecseseznamem"/>
        <w:numPr>
          <w:ilvl w:val="1"/>
          <w:numId w:val="3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jméno, popřípadě jména, a příjmení nebo název nebo obchodní firmu, obecný</w:t>
      </w:r>
      <w:r w:rsidR="007332E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identifikátor, byl-li přidělen, místo pobytu nebo sídlo, místo podnikání, popřípadě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další adresy pro doručování; právnická osoba uvede též osoby, které jsou jejím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jménem oprávněny jednat v poplatkových věcech,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4EA30A8F" w14:textId="77777777" w:rsidR="00096847" w:rsidRDefault="008F2808" w:rsidP="007332E0">
      <w:pPr>
        <w:pStyle w:val="Odstavecseseznamem"/>
        <w:numPr>
          <w:ilvl w:val="1"/>
          <w:numId w:val="3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čísla všech svých účtů u poskytovatelů platebních služeb, včetně poskytovatelů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těchto služeb v zahraničí, užívaných v souvislosti s podnikatelskou činností,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v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případě, že předmět poplatku souvisí s podnikatelskou činností poplatníka nebo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plátce,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6AE04FDA" w14:textId="77777777" w:rsidR="00096847" w:rsidRDefault="008F2808" w:rsidP="007332E0">
      <w:pPr>
        <w:pStyle w:val="Odstavecseseznamem"/>
        <w:numPr>
          <w:ilvl w:val="1"/>
          <w:numId w:val="3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další údaje a skutečnosti rozhodné pro stanovení výše poplatkové povinnosti,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včetně skutečností zakládajících nárok na úlevu nebo případné osvobození od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poplatkové povinnosti.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0EBD61A4" w14:textId="77777777" w:rsidR="00096847" w:rsidRDefault="008F2808" w:rsidP="00096847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Poplatník nebo plátce, který nemá sídlo nebo bydliště na území členského státu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Evropské unie, jiného smluvního státu Dohody o Evropském hospodářském prostoru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nebo Švýcarské konfederace, uvede kromě údajů požadovaných v odstavci 2 adresu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svého zmocněnce v tuzemsku pro doručování.</w:t>
      </w:r>
      <w:r w:rsidR="00096847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14"/>
      </w:r>
    </w:p>
    <w:p w14:paraId="2BD9193D" w14:textId="77777777" w:rsidR="00096847" w:rsidRDefault="008F2808" w:rsidP="00096847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Dojde-li ke změně údajů či skutečností uvedených v ohlášení, je poplatník nebo plátce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povinen tuto změnu oznámit do 15 dnů ode dne, kdy nastala.</w:t>
      </w:r>
      <w:r w:rsidR="00096847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15"/>
      </w:r>
    </w:p>
    <w:p w14:paraId="0E775D67" w14:textId="77777777" w:rsidR="00096847" w:rsidRDefault="00096847" w:rsidP="00096847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3515295" w14:textId="77777777" w:rsidR="00096847" w:rsidRPr="00096847" w:rsidRDefault="008F2808" w:rsidP="00096847">
      <w:pPr>
        <w:pStyle w:val="Odstavecseseznamem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9684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20</w:t>
      </w:r>
    </w:p>
    <w:p w14:paraId="253B438E" w14:textId="77777777" w:rsidR="00096847" w:rsidRPr="00096847" w:rsidRDefault="008F2808" w:rsidP="00096847">
      <w:pPr>
        <w:pStyle w:val="Odstavecseseznamem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9684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Navýšení poplatku</w:t>
      </w:r>
    </w:p>
    <w:p w14:paraId="1E2F1F3C" w14:textId="77777777" w:rsidR="00096847" w:rsidRDefault="008F2808" w:rsidP="00096847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(1) Nebudou-li poplatky zaplaceny poplatníkem včas nebo ve správné výši, vyměří mu úřad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městyse poplatek platebním výměrem.</w:t>
      </w:r>
      <w:r w:rsidR="00096847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16"/>
      </w:r>
    </w:p>
    <w:p w14:paraId="590E2A43" w14:textId="097122D9" w:rsidR="008F2808" w:rsidRPr="007332E0" w:rsidRDefault="008F2808" w:rsidP="00096847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(2) Včas nezaplacené nebo neodvedené poplatky nebo část těchto poplatků může úřad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městyse zvýšit až na trojnásobek; toto zvýšení je příslušenstvím poplatku.</w:t>
      </w:r>
      <w:r w:rsidR="00096847">
        <w:rPr>
          <w:rStyle w:val="Znakapoznpodarou"/>
          <w:rFonts w:ascii="Arial" w:eastAsia="Times New Roman" w:hAnsi="Arial" w:cs="Arial"/>
          <w:kern w:val="0"/>
          <w:lang w:eastAsia="cs-CZ"/>
          <w14:ligatures w14:val="none"/>
        </w:rPr>
        <w:footnoteReference w:id="17"/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17</w:t>
      </w:r>
    </w:p>
    <w:p w14:paraId="0F782AC1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00CDC7F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873B852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21</w:t>
      </w:r>
    </w:p>
    <w:p w14:paraId="6A7306DD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3E213439" w14:textId="77777777" w:rsidR="00096847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Zrušovací ustanovení</w:t>
      </w:r>
    </w:p>
    <w:p w14:paraId="7B904383" w14:textId="77777777" w:rsidR="00096847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Zrušuje se:</w:t>
      </w:r>
    </w:p>
    <w:p w14:paraId="59DB4DC3" w14:textId="4DFE1438" w:rsidR="008F2808" w:rsidRPr="008F2808" w:rsidRDefault="008F2808" w:rsidP="0009684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a) obecně závazná vyhláška č. 1/2010 Městyse Luka nad Jihlavou o místních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poplatcích, ze dne 14.12.2010 a OZV č. 4/2009 ze dne 01.01.2009.</w:t>
      </w:r>
    </w:p>
    <w:p w14:paraId="4D4306E2" w14:textId="77777777" w:rsidR="008F2808" w:rsidRPr="008F2808" w:rsidRDefault="008F2808" w:rsidP="008F28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F6BEC29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22</w:t>
      </w:r>
    </w:p>
    <w:p w14:paraId="0A4FB57E" w14:textId="77777777" w:rsidR="008F2808" w:rsidRPr="008F2808" w:rsidRDefault="008F2808" w:rsidP="002A256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51645762" w14:textId="77777777" w:rsidR="00096847" w:rsidRDefault="008F2808" w:rsidP="002A2568">
      <w:pPr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A256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Účinnost</w:t>
      </w:r>
    </w:p>
    <w:p w14:paraId="7570698E" w14:textId="40CD88AA" w:rsidR="00096847" w:rsidRDefault="008F2808" w:rsidP="002A2568">
      <w:pPr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Tato obecně závazná vyhláška nabývá účinnosti dnem 1. dubna 2012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0FB594E" w14:textId="77777777" w:rsidR="00096847" w:rsidRDefault="00096847" w:rsidP="002A2568">
      <w:pPr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2262E71" w14:textId="77777777" w:rsidR="00096847" w:rsidRDefault="00096847" w:rsidP="002A2568">
      <w:pPr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04F7AC7" w14:textId="77777777" w:rsidR="00096847" w:rsidRDefault="008F2808" w:rsidP="00096847">
      <w:p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 xml:space="preserve">Viktor </w:t>
      </w:r>
      <w:proofErr w:type="spellStart"/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Wölfl</w:t>
      </w:r>
      <w:proofErr w:type="spellEnd"/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Lada Salátová</w:t>
      </w: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br/>
        <w:t xml:space="preserve">starosta 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místostarostka</w:t>
      </w: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br/>
      </w:r>
    </w:p>
    <w:p w14:paraId="334DB0C0" w14:textId="77777777" w:rsidR="00096847" w:rsidRDefault="00096847" w:rsidP="00096847">
      <w:pPr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D7CBFCB" w14:textId="73FBB4A3" w:rsidR="001B255B" w:rsidRPr="008F2808" w:rsidRDefault="008F2808" w:rsidP="00096847">
      <w:pPr>
        <w:rPr>
          <w:rFonts w:ascii="Arial" w:hAnsi="Arial" w:cs="Arial"/>
        </w:rPr>
      </w:pP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Vyvěšeno na úřední desce dne: 07.03.2012</w:t>
      </w: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br/>
        <w:t>Sejmuto z úřední desky:</w:t>
      </w:r>
      <w:r w:rsidR="00096847">
        <w:rPr>
          <w:rFonts w:ascii="Arial" w:eastAsia="Times New Roman" w:hAnsi="Arial" w:cs="Arial"/>
          <w:kern w:val="0"/>
          <w:lang w:eastAsia="cs-CZ"/>
          <w14:ligatures w14:val="none"/>
        </w:rPr>
        <w:t xml:space="preserve"> 22.03.2012</w:t>
      </w:r>
    </w:p>
    <w:sectPr w:rsidR="001B255B" w:rsidRPr="008F2808" w:rsidSect="008F280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D84B" w14:textId="77777777" w:rsidR="00B26E7F" w:rsidRDefault="00B26E7F" w:rsidP="00B26E7F">
      <w:pPr>
        <w:spacing w:after="0" w:line="240" w:lineRule="auto"/>
      </w:pPr>
      <w:r>
        <w:separator/>
      </w:r>
    </w:p>
  </w:endnote>
  <w:endnote w:type="continuationSeparator" w:id="0">
    <w:p w14:paraId="57DF21FA" w14:textId="77777777" w:rsidR="00B26E7F" w:rsidRDefault="00B26E7F" w:rsidP="00B2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E6C34" w14:textId="77777777" w:rsidR="00B26E7F" w:rsidRDefault="00B26E7F" w:rsidP="00B26E7F">
      <w:pPr>
        <w:spacing w:after="0" w:line="240" w:lineRule="auto"/>
      </w:pPr>
      <w:r>
        <w:separator/>
      </w:r>
    </w:p>
  </w:footnote>
  <w:footnote w:type="continuationSeparator" w:id="0">
    <w:p w14:paraId="4D0CF8D5" w14:textId="77777777" w:rsidR="00B26E7F" w:rsidRDefault="00B26E7F" w:rsidP="00B26E7F">
      <w:pPr>
        <w:spacing w:after="0" w:line="240" w:lineRule="auto"/>
      </w:pPr>
      <w:r>
        <w:continuationSeparator/>
      </w:r>
    </w:p>
  </w:footnote>
  <w:footnote w:id="1">
    <w:p w14:paraId="565670E5" w14:textId="5BF1C06F" w:rsidR="00B26E7F" w:rsidRPr="00B26E7F" w:rsidRDefault="00B26E7F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B26E7F">
        <w:rPr>
          <w:rFonts w:ascii="Arial" w:eastAsia="Times New Roman" w:hAnsi="Arial" w:cs="Arial"/>
          <w:kern w:val="0"/>
          <w:lang w:eastAsia="cs-CZ"/>
          <w14:ligatures w14:val="none"/>
        </w:rPr>
        <w:t>§ 14 odst. 3 zákona č. 565/1990 Sb., o místních poplatcích, ve znění pozdějších předpisů (dále jen „zákon</w:t>
      </w:r>
      <w:r w:rsidRPr="00B26E7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B26E7F">
        <w:rPr>
          <w:rFonts w:ascii="Arial" w:eastAsia="Times New Roman" w:hAnsi="Arial" w:cs="Arial"/>
          <w:kern w:val="0"/>
          <w:lang w:eastAsia="cs-CZ"/>
          <w14:ligatures w14:val="none"/>
        </w:rPr>
        <w:t>o místních poplatcích“)</w:t>
      </w:r>
    </w:p>
  </w:footnote>
  <w:footnote w:id="2">
    <w:p w14:paraId="45419512" w14:textId="330EEE7D" w:rsidR="00B26E7F" w:rsidRPr="00B26E7F" w:rsidRDefault="00B26E7F">
      <w:pPr>
        <w:pStyle w:val="Textpoznpodarou"/>
        <w:rPr>
          <w:rFonts w:ascii="Arial" w:hAnsi="Arial" w:cs="Arial"/>
        </w:rPr>
      </w:pPr>
      <w:r w:rsidRPr="00B26E7F">
        <w:rPr>
          <w:rStyle w:val="Znakapoznpodarou"/>
          <w:rFonts w:ascii="Arial" w:hAnsi="Arial" w:cs="Arial"/>
        </w:rPr>
        <w:footnoteRef/>
      </w:r>
      <w:r w:rsidRPr="00B26E7F">
        <w:rPr>
          <w:rFonts w:ascii="Arial" w:hAnsi="Arial" w:cs="Arial"/>
        </w:rPr>
        <w:t xml:space="preserve"> </w:t>
      </w:r>
      <w:r w:rsidRPr="00B26E7F">
        <w:rPr>
          <w:rFonts w:ascii="Arial" w:eastAsia="Times New Roman" w:hAnsi="Arial" w:cs="Arial"/>
          <w:kern w:val="0"/>
          <w:lang w:eastAsia="cs-CZ"/>
          <w14:ligatures w14:val="none"/>
        </w:rPr>
        <w:t>§ 2 odst. 1 zákona o místních poplatcích</w:t>
      </w:r>
    </w:p>
  </w:footnote>
  <w:footnote w:id="3">
    <w:p w14:paraId="545BA513" w14:textId="64E0A4E4" w:rsidR="00B26E7F" w:rsidRPr="00B26E7F" w:rsidRDefault="00B26E7F">
      <w:pPr>
        <w:pStyle w:val="Textpoznpodarou"/>
        <w:rPr>
          <w:rFonts w:ascii="Arial" w:hAnsi="Arial" w:cs="Arial"/>
        </w:rPr>
      </w:pPr>
      <w:r w:rsidRPr="00B26E7F">
        <w:rPr>
          <w:rStyle w:val="Znakapoznpodarou"/>
          <w:rFonts w:ascii="Arial" w:hAnsi="Arial" w:cs="Arial"/>
        </w:rPr>
        <w:footnoteRef/>
      </w:r>
      <w:r w:rsidRPr="00B26E7F">
        <w:rPr>
          <w:rFonts w:ascii="Arial" w:hAnsi="Arial" w:cs="Arial"/>
        </w:rPr>
        <w:t xml:space="preserve"> </w:t>
      </w:r>
      <w:r w:rsidRPr="00B26E7F">
        <w:rPr>
          <w:rFonts w:ascii="Arial" w:eastAsia="Times New Roman" w:hAnsi="Arial" w:cs="Arial"/>
          <w:kern w:val="0"/>
          <w:lang w:eastAsia="cs-CZ"/>
          <w14:ligatures w14:val="none"/>
        </w:rPr>
        <w:t>§ 2 odst. 2 zákona o místních poplatcích</w:t>
      </w:r>
    </w:p>
  </w:footnote>
  <w:footnote w:id="4">
    <w:p w14:paraId="515F5B60" w14:textId="31B73DC1" w:rsidR="00B26E7F" w:rsidRPr="00B26E7F" w:rsidRDefault="00B26E7F">
      <w:pPr>
        <w:pStyle w:val="Textpoznpodarou"/>
        <w:rPr>
          <w:rFonts w:ascii="Arial" w:hAnsi="Arial" w:cs="Arial"/>
        </w:rPr>
      </w:pPr>
      <w:r w:rsidRPr="00B26E7F">
        <w:rPr>
          <w:rStyle w:val="Znakapoznpodarou"/>
          <w:rFonts w:ascii="Arial" w:hAnsi="Arial" w:cs="Arial"/>
        </w:rPr>
        <w:footnoteRef/>
      </w:r>
      <w:r w:rsidRPr="00B26E7F">
        <w:rPr>
          <w:rFonts w:ascii="Arial" w:hAnsi="Arial" w:cs="Arial"/>
        </w:rPr>
        <w:t xml:space="preserve"> </w:t>
      </w:r>
      <w:r w:rsidRPr="00B26E7F">
        <w:rPr>
          <w:rFonts w:ascii="Arial" w:hAnsi="Arial" w:cs="Arial"/>
        </w:rPr>
        <w:t>§ 2 odst. 3 a 4 zákona o místních poplatcích</w:t>
      </w:r>
    </w:p>
  </w:footnote>
  <w:footnote w:id="5">
    <w:p w14:paraId="15409C37" w14:textId="0457139B" w:rsidR="00E32BD4" w:rsidRDefault="00E32B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32BD4">
        <w:rPr>
          <w:rFonts w:ascii="Arial" w:hAnsi="Arial" w:cs="Arial"/>
        </w:rPr>
        <w:t>§ 2 odst. 2 zákona o místních poplatcích</w:t>
      </w:r>
    </w:p>
  </w:footnote>
  <w:footnote w:id="6">
    <w:p w14:paraId="582BD755" w14:textId="5C3576A2" w:rsidR="00E32BD4" w:rsidRDefault="00E32B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2808">
        <w:rPr>
          <w:rFonts w:ascii="Arial" w:eastAsia="Times New Roman" w:hAnsi="Arial" w:cs="Arial"/>
          <w:kern w:val="0"/>
          <w:lang w:eastAsia="cs-CZ"/>
          <w14:ligatures w14:val="none"/>
        </w:rPr>
        <w:t>§ 4 odst. 1 zákona o místních poplatcích</w:t>
      </w:r>
    </w:p>
  </w:footnote>
  <w:footnote w:id="7">
    <w:p w14:paraId="565B1D42" w14:textId="647C87A7" w:rsidR="00674D38" w:rsidRDefault="00674D3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74D38">
        <w:rPr>
          <w:rFonts w:ascii="Arial" w:eastAsia="Times New Roman" w:hAnsi="Arial" w:cs="Arial"/>
          <w:kern w:val="0"/>
          <w:lang w:eastAsia="cs-CZ"/>
          <w14:ligatures w14:val="none"/>
        </w:rPr>
        <w:t>§ 4 odst. 2 zákona o místních poplatcích</w:t>
      </w:r>
    </w:p>
  </w:footnote>
  <w:footnote w:id="8">
    <w:p w14:paraId="6441ADD2" w14:textId="5F5DAB3B" w:rsidR="00674D38" w:rsidRDefault="00674D3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2808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§ 4 odst. 3 zákona o místních poplatcích</w:t>
      </w:r>
    </w:p>
  </w:footnote>
  <w:footnote w:id="9">
    <w:p w14:paraId="458EE001" w14:textId="05CC948C" w:rsidR="00674D38" w:rsidRDefault="00674D3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2808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§ 4 odst. 1 poslední věta zákona o místních poplatcích</w:t>
      </w:r>
    </w:p>
  </w:footnote>
  <w:footnote w:id="10">
    <w:p w14:paraId="7747F358" w14:textId="7262CA84" w:rsidR="00674D38" w:rsidRDefault="00674D3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2808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§ 6 odst. 1 zákona o místních poplatcích</w:t>
      </w:r>
    </w:p>
  </w:footnote>
  <w:footnote w:id="11">
    <w:p w14:paraId="4555F532" w14:textId="28633F5B" w:rsidR="00674D38" w:rsidRDefault="00674D3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2808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§ 6 odst. 2 zákona o místních poplatcích</w:t>
      </w:r>
    </w:p>
  </w:footnote>
  <w:footnote w:id="12">
    <w:p w14:paraId="2DC71F8A" w14:textId="4D36D5C1" w:rsidR="007332E0" w:rsidRDefault="007332E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§ 6 odst. 1 věta poslední zákona o místních poplatcích</w:t>
      </w:r>
    </w:p>
  </w:footnote>
  <w:footnote w:id="13">
    <w:p w14:paraId="204C4955" w14:textId="6D8F0E9D" w:rsidR="007332E0" w:rsidRDefault="007332E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§ 14a odst. 1 zákona o místních poplatcích</w:t>
      </w:r>
    </w:p>
  </w:footnote>
  <w:footnote w:id="14">
    <w:p w14:paraId="59A619B0" w14:textId="4B6E5375" w:rsidR="00096847" w:rsidRDefault="000968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§ 14a odst. 2 zákona o místních poplatcích</w:t>
      </w:r>
    </w:p>
  </w:footnote>
  <w:footnote w:id="15">
    <w:p w14:paraId="51376353" w14:textId="6B86C624" w:rsidR="00096847" w:rsidRDefault="000968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§ 14a odst. 3 zákona o místních poplatcích</w:t>
      </w:r>
    </w:p>
  </w:footnote>
  <w:footnote w:id="16">
    <w:p w14:paraId="163F82E5" w14:textId="4A3C14B2" w:rsidR="00096847" w:rsidRDefault="000968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§ 11 odst. 1 zákona o místních poplatcích</w:t>
      </w:r>
    </w:p>
  </w:footnote>
  <w:footnote w:id="17">
    <w:p w14:paraId="254BBF9B" w14:textId="0F78EA1A" w:rsidR="00096847" w:rsidRDefault="000968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2E0">
        <w:rPr>
          <w:rFonts w:ascii="Arial" w:eastAsia="Times New Roman" w:hAnsi="Arial" w:cs="Arial"/>
          <w:kern w:val="0"/>
          <w:lang w:eastAsia="cs-CZ"/>
          <w14:ligatures w14:val="none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F30"/>
    <w:multiLevelType w:val="hybridMultilevel"/>
    <w:tmpl w:val="9E9E85C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174B"/>
    <w:multiLevelType w:val="hybridMultilevel"/>
    <w:tmpl w:val="016AC16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4B50"/>
    <w:multiLevelType w:val="hybridMultilevel"/>
    <w:tmpl w:val="11F8A5B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70EF"/>
    <w:multiLevelType w:val="hybridMultilevel"/>
    <w:tmpl w:val="3AE253C0"/>
    <w:lvl w:ilvl="0" w:tplc="7F460DE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1A48"/>
    <w:multiLevelType w:val="hybridMultilevel"/>
    <w:tmpl w:val="05DE7B6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14752"/>
    <w:multiLevelType w:val="hybridMultilevel"/>
    <w:tmpl w:val="B790B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41ED8"/>
    <w:multiLevelType w:val="hybridMultilevel"/>
    <w:tmpl w:val="12E8D6A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F0ACB"/>
    <w:multiLevelType w:val="hybridMultilevel"/>
    <w:tmpl w:val="9B1CEEA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61A4C"/>
    <w:multiLevelType w:val="hybridMultilevel"/>
    <w:tmpl w:val="0B08B11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63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26B33"/>
    <w:multiLevelType w:val="hybridMultilevel"/>
    <w:tmpl w:val="998283B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D6A5F"/>
    <w:multiLevelType w:val="hybridMultilevel"/>
    <w:tmpl w:val="909C2B18"/>
    <w:lvl w:ilvl="0" w:tplc="FDE017BA">
      <w:start w:val="1"/>
      <w:numFmt w:val="decimal"/>
      <w:lvlText w:val="(%1)"/>
      <w:lvlJc w:val="left"/>
      <w:pPr>
        <w:ind w:left="2985" w:hanging="26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65C8C"/>
    <w:multiLevelType w:val="hybridMultilevel"/>
    <w:tmpl w:val="626E8B2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63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B7546"/>
    <w:multiLevelType w:val="hybridMultilevel"/>
    <w:tmpl w:val="6B60A9D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A6754"/>
    <w:multiLevelType w:val="hybridMultilevel"/>
    <w:tmpl w:val="B2063E0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A7D88"/>
    <w:multiLevelType w:val="hybridMultilevel"/>
    <w:tmpl w:val="D3E47D6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6616C"/>
    <w:multiLevelType w:val="hybridMultilevel"/>
    <w:tmpl w:val="AC84E74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32D0F"/>
    <w:multiLevelType w:val="hybridMultilevel"/>
    <w:tmpl w:val="1FB0F42C"/>
    <w:lvl w:ilvl="0" w:tplc="7BCEF2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407D2"/>
    <w:multiLevelType w:val="hybridMultilevel"/>
    <w:tmpl w:val="1CC041A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C5C2F"/>
    <w:multiLevelType w:val="hybridMultilevel"/>
    <w:tmpl w:val="78724DF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83BCF"/>
    <w:multiLevelType w:val="hybridMultilevel"/>
    <w:tmpl w:val="8032744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B636A"/>
    <w:multiLevelType w:val="hybridMultilevel"/>
    <w:tmpl w:val="7856EEC4"/>
    <w:lvl w:ilvl="0" w:tplc="7E6C78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73BE9B9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C104F"/>
    <w:multiLevelType w:val="hybridMultilevel"/>
    <w:tmpl w:val="6C520E70"/>
    <w:lvl w:ilvl="0" w:tplc="2BC22890">
      <w:start w:val="1"/>
      <w:numFmt w:val="decimal"/>
      <w:lvlText w:val="(%1)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816E1"/>
    <w:multiLevelType w:val="hybridMultilevel"/>
    <w:tmpl w:val="B678B34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002C8"/>
    <w:multiLevelType w:val="hybridMultilevel"/>
    <w:tmpl w:val="D03ABEA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06869"/>
    <w:multiLevelType w:val="hybridMultilevel"/>
    <w:tmpl w:val="BB3A2CE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E47AF"/>
    <w:multiLevelType w:val="hybridMultilevel"/>
    <w:tmpl w:val="4A586D9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63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A70C0"/>
    <w:multiLevelType w:val="hybridMultilevel"/>
    <w:tmpl w:val="B104924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11013"/>
    <w:multiLevelType w:val="hybridMultilevel"/>
    <w:tmpl w:val="C0E45F2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A497E"/>
    <w:multiLevelType w:val="hybridMultilevel"/>
    <w:tmpl w:val="6916FD1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43783"/>
    <w:multiLevelType w:val="hybridMultilevel"/>
    <w:tmpl w:val="8E165D5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80819"/>
    <w:multiLevelType w:val="hybridMultilevel"/>
    <w:tmpl w:val="C560721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63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66658"/>
    <w:multiLevelType w:val="hybridMultilevel"/>
    <w:tmpl w:val="E268600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42227">
    <w:abstractNumId w:val="12"/>
  </w:num>
  <w:num w:numId="2" w16cid:durableId="1658336584">
    <w:abstractNumId w:val="15"/>
  </w:num>
  <w:num w:numId="3" w16cid:durableId="1155143214">
    <w:abstractNumId w:val="2"/>
  </w:num>
  <w:num w:numId="4" w16cid:durableId="1207790551">
    <w:abstractNumId w:val="13"/>
  </w:num>
  <w:num w:numId="5" w16cid:durableId="962347187">
    <w:abstractNumId w:val="18"/>
  </w:num>
  <w:num w:numId="6" w16cid:durableId="1615089644">
    <w:abstractNumId w:val="24"/>
  </w:num>
  <w:num w:numId="7" w16cid:durableId="1660497488">
    <w:abstractNumId w:val="26"/>
  </w:num>
  <w:num w:numId="8" w16cid:durableId="1606304400">
    <w:abstractNumId w:val="19"/>
  </w:num>
  <w:num w:numId="9" w16cid:durableId="27991818">
    <w:abstractNumId w:val="30"/>
  </w:num>
  <w:num w:numId="10" w16cid:durableId="293873736">
    <w:abstractNumId w:val="21"/>
  </w:num>
  <w:num w:numId="11" w16cid:durableId="405297834">
    <w:abstractNumId w:val="27"/>
  </w:num>
  <w:num w:numId="12" w16cid:durableId="1571423871">
    <w:abstractNumId w:val="14"/>
  </w:num>
  <w:num w:numId="13" w16cid:durableId="1961060786">
    <w:abstractNumId w:val="11"/>
  </w:num>
  <w:num w:numId="14" w16cid:durableId="1919436190">
    <w:abstractNumId w:val="31"/>
  </w:num>
  <w:num w:numId="15" w16cid:durableId="125465368">
    <w:abstractNumId w:val="6"/>
  </w:num>
  <w:num w:numId="16" w16cid:durableId="837772436">
    <w:abstractNumId w:val="29"/>
  </w:num>
  <w:num w:numId="17" w16cid:durableId="761878823">
    <w:abstractNumId w:val="0"/>
  </w:num>
  <w:num w:numId="18" w16cid:durableId="2057847213">
    <w:abstractNumId w:val="3"/>
  </w:num>
  <w:num w:numId="19" w16cid:durableId="127212744">
    <w:abstractNumId w:val="25"/>
  </w:num>
  <w:num w:numId="20" w16cid:durableId="1497528501">
    <w:abstractNumId w:val="17"/>
  </w:num>
  <w:num w:numId="21" w16cid:durableId="1998727222">
    <w:abstractNumId w:val="20"/>
  </w:num>
  <w:num w:numId="22" w16cid:durableId="1682388921">
    <w:abstractNumId w:val="10"/>
  </w:num>
  <w:num w:numId="23" w16cid:durableId="1126923845">
    <w:abstractNumId w:val="23"/>
  </w:num>
  <w:num w:numId="24" w16cid:durableId="1738238170">
    <w:abstractNumId w:val="7"/>
  </w:num>
  <w:num w:numId="25" w16cid:durableId="1438870248">
    <w:abstractNumId w:val="4"/>
  </w:num>
  <w:num w:numId="26" w16cid:durableId="1710377806">
    <w:abstractNumId w:val="28"/>
  </w:num>
  <w:num w:numId="27" w16cid:durableId="1778216137">
    <w:abstractNumId w:val="9"/>
  </w:num>
  <w:num w:numId="28" w16cid:durableId="633368403">
    <w:abstractNumId w:val="1"/>
  </w:num>
  <w:num w:numId="29" w16cid:durableId="1986162840">
    <w:abstractNumId w:val="22"/>
  </w:num>
  <w:num w:numId="30" w16cid:durableId="1694113513">
    <w:abstractNumId w:val="8"/>
  </w:num>
  <w:num w:numId="31" w16cid:durableId="1053311424">
    <w:abstractNumId w:val="5"/>
  </w:num>
  <w:num w:numId="32" w16cid:durableId="10352784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08"/>
    <w:rsid w:val="00096847"/>
    <w:rsid w:val="001B255B"/>
    <w:rsid w:val="002A2568"/>
    <w:rsid w:val="00674D38"/>
    <w:rsid w:val="007332E0"/>
    <w:rsid w:val="00752B70"/>
    <w:rsid w:val="008F2808"/>
    <w:rsid w:val="008F29D6"/>
    <w:rsid w:val="00B26E7F"/>
    <w:rsid w:val="00CC65EE"/>
    <w:rsid w:val="00E3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7546"/>
  <w15:chartTrackingRefBased/>
  <w15:docId w15:val="{C7885266-24A2-4084-80D2-84D3A40E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8F280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F2808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F28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8F2808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customStyle="1" w:styleId="NormlnIMP">
    <w:name w:val="Normální_IMP"/>
    <w:basedOn w:val="Normln"/>
    <w:rsid w:val="008F280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A256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6E7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6E7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26E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B0F98-5E97-4CDC-BE4D-1658C56C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1618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Bőhmová</dc:creator>
  <cp:keywords/>
  <dc:description/>
  <cp:lastModifiedBy>Pavla Bőhmová</cp:lastModifiedBy>
  <cp:revision>5</cp:revision>
  <dcterms:created xsi:type="dcterms:W3CDTF">2023-09-22T11:10:00Z</dcterms:created>
  <dcterms:modified xsi:type="dcterms:W3CDTF">2023-09-22T12:25:00Z</dcterms:modified>
</cp:coreProperties>
</file>