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Mutěnice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Mutěnice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Mutěnice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left="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Mutěnice se na svém zasedání dne 24.10. 2024 usnesením č.7/4/ 2024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ind w:left="0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Mutěnice.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-142" w:leader="none"/>
        </w:tabs>
        <w:autoSpaceDE w:val="false"/>
        <w:ind w:left="0" w:right="0" w:hanging="426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Odstavecseseznamem"/>
        <w:numPr>
          <w:ilvl w:val="0"/>
          <w:numId w:val="9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Odstavecseseznamem"/>
        <w:numPr>
          <w:ilvl w:val="0"/>
          <w:numId w:val="9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Normal"/>
        <w:rPr>
          <w:rFonts w:ascii="Arial" w:hAnsi="Arial" w:cs="Arial"/>
          <w:i/>
          <w:i/>
          <w:iCs/>
          <w:color w:val="00B0F0"/>
          <w:sz w:val="22"/>
          <w:szCs w:val="22"/>
        </w:rPr>
      </w:pPr>
      <w:r>
        <w:rPr>
          <w:rFonts w:cs="Arial" w:ascii="Arial" w:hAnsi="Arial"/>
          <w:i/>
          <w:iCs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iCs/>
          <w:color w:val="00B0F0"/>
          <w:sz w:val="22"/>
          <w:szCs w:val="22"/>
        </w:rPr>
      </w:pPr>
      <w:r>
        <w:rPr>
          <w:rFonts w:cs="Arial" w:ascii="Arial" w:hAnsi="Arial"/>
          <w:i/>
          <w:iCs/>
          <w:color w:val="00B0F0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j).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4"/>
        </w:numPr>
        <w:rPr/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B0F0"/>
          <w:sz w:val="22"/>
          <w:szCs w:val="22"/>
        </w:rPr>
        <w:t>(</w:t>
      </w:r>
      <w:r>
        <w:rPr>
          <w:rFonts w:cs="Arial" w:ascii="Arial" w:hAnsi="Arial"/>
          <w:i/>
          <w:iCs/>
          <w:color w:val="00B0F0"/>
          <w:sz w:val="22"/>
          <w:szCs w:val="22"/>
        </w:rPr>
        <w:t>např. koberce, matrace, nábytek apod.).</w:t>
      </w:r>
    </w:p>
    <w:p>
      <w:pPr>
        <w:pStyle w:val="Odsazentlatextu"/>
        <w:ind w:left="360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/>
          <w:color w:val="00B0F0"/>
          <w:sz w:val="22"/>
          <w:szCs w:val="22"/>
        </w:rPr>
        <w:t>kontejnery, sběrné nádoby a velkoobjemový kontejner na biologický odpad.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Sběrné nádoby na papír, plasty, sklo a směsný komunální odpad  jsou umístěny  před čp. 59 (pod letištěm).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Sběrné nádoby na papír, plasty, sklo, a směsný komunální odpad jsou umístěny u bytovek čp. 17.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Sběrné nádoby na papír, plasty, sklo, kov</w:t>
      </w:r>
      <w:r>
        <w:rPr>
          <w:rFonts w:cs="Arial" w:ascii="Arial" w:hAnsi="Arial"/>
          <w:i/>
          <w:color w:val="00B0F0"/>
          <w:sz w:val="22"/>
          <w:szCs w:val="22"/>
        </w:rPr>
        <w:t>y</w:t>
      </w:r>
      <w:r>
        <w:rPr>
          <w:rFonts w:cs="Arial" w:ascii="Arial" w:hAnsi="Arial"/>
          <w:i/>
          <w:color w:val="00B0F0"/>
          <w:sz w:val="22"/>
          <w:szCs w:val="22"/>
        </w:rPr>
        <w:t>, jedlé oleje a tuky a směsný komunální odpad  jsou umístěny u místního pohostinství.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Sběrné nádoby na papír, plasty  a sklo  jsou umístěny v lokalitě Na Loučkách.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right="0" w:hanging="0"/>
        <w:jc w:val="both"/>
        <w:rPr/>
      </w:pPr>
      <w:r>
        <w:rPr>
          <w:rFonts w:cs="Arial" w:ascii="Arial" w:hAnsi="Arial"/>
          <w:i/>
          <w:color w:val="00B0F0"/>
          <w:sz w:val="22"/>
          <w:szCs w:val="22"/>
        </w:rPr>
        <w:t>Velkoobjemový kontejner na biologický odpad je umístěn</w:t>
      </w:r>
      <w:r>
        <w:rPr>
          <w:rFonts w:cs="Arial" w:ascii="Arial" w:hAnsi="Arial"/>
          <w:color w:val="00B0F0"/>
          <w:sz w:val="22"/>
          <w:szCs w:val="22"/>
        </w:rPr>
        <w:t xml:space="preserve">  u stožáru VN vedle skladu Teplárny Strakonice.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lnIMP"/>
        <w:numPr>
          <w:ilvl w:val="0"/>
          <w:numId w:val="1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žlutá – velkoobjemový kontejner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Plasty, PET lahve, barva </w:t>
      </w:r>
      <w:r>
        <w:rPr>
          <w:rFonts w:cs="Arial" w:ascii="Arial" w:hAnsi="Arial"/>
          <w:bCs/>
          <w:i/>
        </w:rPr>
        <w:t xml:space="preserve"> žlutá + zelená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 barva černá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 popelnice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Textil, barva </w:t>
      </w:r>
      <w:r>
        <w:rPr>
          <w:rFonts w:cs="Arial" w:ascii="Arial" w:hAnsi="Arial"/>
          <w:i/>
          <w:iCs/>
          <w:sz w:val="22"/>
          <w:szCs w:val="22"/>
        </w:rPr>
        <w:t>šedá</w:t>
      </w:r>
    </w:p>
    <w:p>
      <w:pPr>
        <w:pStyle w:val="Normal"/>
        <w:ind w:left="360" w:right="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right="0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Default"/>
        <w:ind w:left="360" w:right="0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na elektronické úřední desce obecního úřadu.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.   </w:t>
      </w:r>
    </w:p>
    <w:p>
      <w:pPr>
        <w:pStyle w:val="Normal"/>
        <w:rPr>
          <w:rFonts w:ascii="Arial" w:hAnsi="Arial" w:cs="Arial"/>
          <w:b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jednou ročně jeho odebíráním na předem vyhlášených přechodných stanovištích přímo do zvláštních sběrných nádob k tomuto účelu určených. Informace o svozu jsou zveřejňovány na úřední desce obecního úřadu a na elektronické úřední desce obecního úřadu.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lnIMP"/>
        <w:suppressAutoHyphens w:val="false"/>
        <w:overflowPunct w:val="true"/>
        <w:autoSpaceDE w:val="true"/>
        <w:spacing w:lineRule="auto" w:line="240"/>
        <w:textAlignment w:val="auto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right="0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 popelnice.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widowControl w:val="false"/>
        <w:ind w:left="426" w:right="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righ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tabs>
          <w:tab w:val="clear" w:pos="708"/>
          <w:tab w:val="left" w:pos="709" w:leader="none"/>
          <w:tab w:val="left" w:pos="2025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color w:val="00B0F0"/>
          <w:sz w:val="22"/>
          <w:szCs w:val="22"/>
        </w:rPr>
      </w:pPr>
      <w:r>
        <w:rPr>
          <w:rFonts w:cs="Arial" w:ascii="Arial" w:hAnsi="Arial"/>
          <w:b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left="360" w:right="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Nabytím této vyhlášky se zrušuje obecně závazná vyhláška obce č. 3/2010 obce Mutěnice o stanovení systému shromažďování, sběru, třídění, využívání a odstraňování komunálních odpadů, ze dne 20. 5. 2010.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 2025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Mutěnicích, dne 24.10. 2024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</w:tabs>
        <w:ind w:left="54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0"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</w:t>
        <w:tab/>
        <w:tab/>
        <w:tab/>
        <w:tab/>
        <w:tab/>
        <w:tab/>
        <w:t>……………….</w:t>
        <w:tab/>
        <w:t>……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bCs/>
          <w:i/>
          <w:sz w:val="22"/>
          <w:szCs w:val="22"/>
        </w:rPr>
        <w:t>Martin Walter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>Roman Šíp</w:t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ind w:left="708" w:right="0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000000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WW8Num2z0">
    <w:name w:val="WW8Num2z0"/>
    <w:qFormat/>
    <w:rPr>
      <w:color w:val="000000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color w:val="000000"/>
    </w:rPr>
  </w:style>
  <w:style w:type="character" w:styleId="WW8Num6z0">
    <w:name w:val="WW8Num6z0"/>
    <w:qFormat/>
    <w:rPr>
      <w:color w:val="000000"/>
    </w:rPr>
  </w:style>
  <w:style w:type="character" w:styleId="WW8Num7z0">
    <w:name w:val="WW8Num7z0"/>
    <w:qFormat/>
    <w:rPr>
      <w:i w:val="false"/>
    </w:rPr>
  </w:style>
  <w:style w:type="character" w:styleId="WW8Num8z0">
    <w:name w:val="WW8Num8z0"/>
    <w:qFormat/>
    <w:rPr>
      <w:strike w:val="false"/>
      <w:dstrike w:val="false"/>
      <w:color w:val="000000"/>
    </w:rPr>
  </w:style>
  <w:style w:type="character" w:styleId="WW8Num9z0">
    <w:name w:val="WW8Num9z0"/>
    <w:qFormat/>
    <w:rPr>
      <w:rFonts w:eastAsia="Times New Roman" w:cs="Times New Roman"/>
    </w:rPr>
  </w:style>
  <w:style w:type="character" w:styleId="WW8Num10z0">
    <w:name w:val="WW8Num10z0"/>
    <w:qFormat/>
    <w:rPr>
      <w:b w:val="false"/>
      <w:u w:val="none"/>
    </w:rPr>
  </w:style>
  <w:style w:type="character" w:styleId="WW8Num1z0">
    <w:name w:val="WW8Num1z0"/>
    <w:qFormat/>
    <w:rPr>
      <w:color w:val="000000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i w:val="false"/>
    </w:rPr>
  </w:style>
  <w:style w:type="character" w:styleId="WW8Num15z0">
    <w:name w:val="WW8Num15z0"/>
    <w:qFormat/>
    <w:rPr>
      <w:strike w:val="false"/>
      <w:dstrike w:val="false"/>
      <w:color w:val="000000"/>
    </w:rPr>
  </w:style>
  <w:style w:type="character" w:styleId="WW8Num16z0">
    <w:name w:val="WW8Num16z0"/>
    <w:qFormat/>
    <w:rPr>
      <w:color w:val="000000"/>
    </w:rPr>
  </w:style>
  <w:style w:type="character" w:styleId="WW8Num17z0">
    <w:name w:val="WW8Num17z0"/>
    <w:qFormat/>
    <w:rPr>
      <w:i w:val="false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Arial" w:hAnsi="Arial" w:eastAsia="Times New Roman" w:cs="Arial"/>
    </w:rPr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eastAsia="Times New Roman" w:cs="Times New Roman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b w:val="false"/>
      <w:u w:val="none"/>
    </w:rPr>
  </w:style>
  <w:style w:type="character" w:styleId="WW8Num24z0">
    <w:name w:val="WW8Num24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strike w:val="false"/>
      <w:dstrike w:val="false"/>
      <w:color w:val="000000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Arial" w:hAnsi="Arial" w:eastAsia="Times New Roman" w:cs="Arial"/>
      <w:color w:val="000000"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708"/>
        <w:tab w:val="left" w:pos="540" w:leader="none"/>
      </w:tabs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LibreOffice/7.4.2.3$Windows_X86_64 LibreOffice_project/382eef1f22670f7f4118c8c2dd222ec7ad009daf</Application>
  <AppVersion>15.0000</AppVersion>
  <Pages>3</Pages>
  <Words>773</Words>
  <Characters>4271</Characters>
  <CharactersWithSpaces>4997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2021-11-07T19:25:00Z</dcterms:created>
  <dc:creator>DA210036</dc:creator>
  <dc:description/>
  <dc:language>cs-CZ</dc:language>
  <cp:lastModifiedBy/>
  <cp:lastPrinted>2024-10-09T17:00:25Z</cp:lastPrinted>
  <dcterms:modified xsi:type="dcterms:W3CDTF">2024-10-09T17:00:46Z</dcterms:modified>
  <cp:revision>40</cp:revision>
  <dc:subject/>
  <dc:title>Vzor obecně závazné vyhlášky obce o stanovení systému shromažďování, sběru, přepravy, třídění, využívání a odstraňování komuná</dc:title>
</cp:coreProperties>
</file>