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bCs/>
          <w:sz w:val="24"/>
          <w:szCs w:val="24"/>
        </w:rPr>
      </w:pPr>
      <w:r>
        <w:rPr>
          <w:rFonts w:cs="Arial" w:ascii="Arial" w:hAnsi="Arial"/>
          <w:b/>
          <w:bCs/>
          <w:sz w:val="24"/>
          <w:szCs w:val="24"/>
        </w:rPr>
        <w:t>OBEC BOŽANOV</w:t>
      </w:r>
    </w:p>
    <w:p>
      <w:pPr>
        <w:pStyle w:val="NoSpacing"/>
        <w:jc w:val="center"/>
        <w:rPr>
          <w:rFonts w:ascii="Arial" w:hAnsi="Arial" w:cs="Arial"/>
          <w:b/>
          <w:b/>
          <w:bCs/>
          <w:sz w:val="24"/>
          <w:szCs w:val="24"/>
        </w:rPr>
      </w:pPr>
      <w:r>
        <w:rPr>
          <w:rFonts w:cs="Arial" w:ascii="Arial" w:hAnsi="Arial"/>
          <w:b/>
          <w:bCs/>
          <w:sz w:val="24"/>
          <w:szCs w:val="24"/>
        </w:rPr>
        <w:t>Zastupitelstvo obce Božanov</w:t>
      </w:r>
    </w:p>
    <w:p>
      <w:pPr>
        <w:pStyle w:val="NoSpacing"/>
        <w:jc w:val="center"/>
        <w:rPr>
          <w:rFonts w:ascii="Arial" w:hAnsi="Arial" w:cs="Arial"/>
          <w:b/>
          <w:b/>
          <w:bCs/>
          <w:sz w:val="24"/>
          <w:szCs w:val="24"/>
        </w:rPr>
      </w:pPr>
      <w:r>
        <w:rPr>
          <w:rFonts w:cs="Arial" w:ascii="Arial" w:hAnsi="Arial"/>
          <w:b/>
          <w:bCs/>
          <w:sz w:val="24"/>
          <w:szCs w:val="24"/>
        </w:rPr>
      </w:r>
    </w:p>
    <w:p>
      <w:pPr>
        <w:pStyle w:val="Normal"/>
        <w:jc w:val="center"/>
        <w:rPr/>
      </w:pPr>
      <w:r>
        <w:rPr/>
        <w:drawing>
          <wp:inline distT="0" distB="0" distL="0" distR="0">
            <wp:extent cx="716280" cy="716280"/>
            <wp:effectExtent l="0" t="0" r="0" b="0"/>
            <wp:docPr id="1" name="Obrázek 2" descr="Znak obce Bož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Znak obce Božanov"/>
                    <pic:cNvPicPr>
                      <a:picLocks noChangeAspect="1" noChangeArrowheads="1"/>
                    </pic:cNvPicPr>
                  </pic:nvPicPr>
                  <pic:blipFill>
                    <a:blip r:embed="rId2"/>
                    <a:stretch>
                      <a:fillRect/>
                    </a:stretch>
                  </pic:blipFill>
                  <pic:spPr bwMode="auto">
                    <a:xfrm>
                      <a:off x="0" y="0"/>
                      <a:ext cx="716280" cy="716280"/>
                    </a:xfrm>
                    <a:prstGeom prst="rect">
                      <a:avLst/>
                    </a:prstGeom>
                  </pic:spPr>
                </pic:pic>
              </a:graphicData>
            </a:graphic>
          </wp:inline>
        </w:drawing>
      </w:r>
    </w:p>
    <w:p>
      <w:pPr>
        <w:pStyle w:val="NoSpacing"/>
        <w:jc w:val="center"/>
        <w:rPr>
          <w:rFonts w:ascii="Arial" w:hAnsi="Arial" w:cs="Arial"/>
          <w:b/>
          <w:b/>
          <w:bCs/>
          <w:sz w:val="24"/>
          <w:szCs w:val="24"/>
        </w:rPr>
      </w:pPr>
      <w:r>
        <w:rPr>
          <w:rFonts w:cs="Arial" w:ascii="Arial" w:hAnsi="Arial"/>
          <w:b/>
          <w:bCs/>
          <w:sz w:val="24"/>
          <w:szCs w:val="24"/>
        </w:rPr>
        <w:t>Obecně závazná vyhláška</w:t>
      </w:r>
    </w:p>
    <w:p>
      <w:pPr>
        <w:pStyle w:val="NoSpacing"/>
        <w:jc w:val="center"/>
        <w:rPr>
          <w:rFonts w:ascii="Arial" w:hAnsi="Arial" w:cs="Arial"/>
          <w:b/>
          <w:b/>
          <w:bCs/>
          <w:sz w:val="24"/>
          <w:szCs w:val="24"/>
        </w:rPr>
      </w:pPr>
      <w:r>
        <w:rPr>
          <w:rFonts w:cs="Arial" w:ascii="Arial" w:hAnsi="Arial"/>
          <w:b/>
          <w:bCs/>
          <w:sz w:val="24"/>
          <w:szCs w:val="24"/>
        </w:rPr>
        <w:t>č.1/2024</w:t>
      </w:r>
    </w:p>
    <w:p>
      <w:pPr>
        <w:pStyle w:val="NoSpacing"/>
        <w:jc w:val="center"/>
        <w:rPr>
          <w:rFonts w:ascii="Arial" w:hAnsi="Arial" w:cs="Arial"/>
          <w:b/>
          <w:b/>
          <w:bCs/>
          <w:sz w:val="24"/>
          <w:szCs w:val="24"/>
        </w:rPr>
      </w:pPr>
      <w:r>
        <w:rPr>
          <w:rFonts w:cs="Arial" w:ascii="Arial" w:hAnsi="Arial"/>
          <w:b/>
          <w:bCs/>
          <w:sz w:val="24"/>
          <w:szCs w:val="24"/>
        </w:rPr>
        <w:t>o stanovení obecního systému odpadového hospodářství</w:t>
      </w:r>
    </w:p>
    <w:p>
      <w:pPr>
        <w:pStyle w:val="Normal"/>
        <w:jc w:val="center"/>
        <w:rPr/>
      </w:pPr>
      <w:r>
        <w:rPr/>
      </w:r>
    </w:p>
    <w:p>
      <w:pPr>
        <w:pStyle w:val="Tlotextu"/>
        <w:tabs>
          <w:tab w:val="clear" w:pos="708"/>
          <w:tab w:val="left" w:pos="1440" w:leader="none"/>
          <w:tab w:val="left" w:pos="7020" w:leader="none"/>
        </w:tabs>
        <w:spacing w:lineRule="auto" w:line="288" w:before="114" w:after="234"/>
        <w:ind w:left="284" w:hanging="0"/>
        <w:jc w:val="both"/>
        <w:rPr>
          <w:rFonts w:ascii="Arial" w:hAnsi="Arial" w:cs="Arial"/>
          <w:bCs/>
          <w:sz w:val="22"/>
          <w:szCs w:val="22"/>
        </w:rPr>
      </w:pPr>
      <w:r>
        <w:rPr>
          <w:rFonts w:cs="Arial" w:ascii="Arial" w:hAnsi="Arial"/>
          <w:bCs/>
          <w:sz w:val="22"/>
          <w:szCs w:val="22"/>
        </w:rPr>
        <w:t xml:space="preserve">Zastupitelstvo obce Božanov se na svém zasedání dne </w:t>
      </w:r>
      <w:r>
        <w:rPr>
          <w:rFonts w:cs="Arial" w:ascii="Arial" w:hAnsi="Arial"/>
          <w:bCs/>
          <w:sz w:val="22"/>
          <w:szCs w:val="22"/>
        </w:rPr>
        <w:t>26.11.2024</w:t>
      </w:r>
      <w:r>
        <w:rPr>
          <w:rFonts w:cs="Arial" w:ascii="Arial" w:hAnsi="Arial"/>
          <w:bCs/>
          <w:sz w:val="22"/>
          <w:szCs w:val="22"/>
        </w:rPr>
        <w:t xml:space="preserve"> usneslo vydat </w:t>
        <w:br/>
        <w:t>na základě § 59 odst. 4 zákona č. 541/2020 Sb., o odpadech, ve znění pozdějších předpisů (dále jen „zákon o odpadech“), a v souladu s § 10 písm. d) a § 84 odst. 2 písm. h) zákona č. 128/2000 Sb., o obcích, ve znění pozdějších předpisů, tuto obecně závaznou vyhlášku (dále jen „vyhláška“):</w:t>
      </w:r>
    </w:p>
    <w:p>
      <w:pPr>
        <w:pStyle w:val="Tlotextu"/>
        <w:tabs>
          <w:tab w:val="clear" w:pos="708"/>
          <w:tab w:val="left" w:pos="1440" w:leader="none"/>
          <w:tab w:val="left" w:pos="7020" w:leader="none"/>
        </w:tabs>
        <w:spacing w:lineRule="auto" w:line="288" w:before="114" w:after="234"/>
        <w:ind w:left="284" w:hanging="0"/>
        <w:jc w:val="both"/>
        <w:rPr>
          <w:rFonts w:ascii="Arial" w:hAnsi="Arial" w:cs="Arial"/>
          <w:bCs/>
          <w:sz w:val="22"/>
          <w:szCs w:val="22"/>
        </w:rPr>
      </w:pPr>
      <w:r>
        <w:rPr/>
      </w:r>
    </w:p>
    <w:p>
      <w:pPr>
        <w:pStyle w:val="NoSpacing"/>
        <w:spacing w:before="0" w:after="0"/>
        <w:jc w:val="center"/>
        <w:rPr>
          <w:rFonts w:ascii="Arial" w:hAnsi="Arial" w:cs="Arial"/>
          <w:b/>
          <w:b/>
          <w:bCs/>
          <w:sz w:val="24"/>
          <w:szCs w:val="24"/>
        </w:rPr>
      </w:pPr>
      <w:r>
        <w:rPr>
          <w:rFonts w:cs="Arial" w:ascii="Arial" w:hAnsi="Arial"/>
          <w:b/>
          <w:bCs/>
          <w:sz w:val="24"/>
          <w:szCs w:val="24"/>
        </w:rPr>
        <w:t>Čl. 1</w:t>
      </w:r>
    </w:p>
    <w:p>
      <w:pPr>
        <w:pStyle w:val="NoSpacing"/>
        <w:jc w:val="center"/>
        <w:rPr>
          <w:rFonts w:ascii="Arial" w:hAnsi="Arial" w:cs="Arial"/>
          <w:b/>
          <w:b/>
          <w:bCs/>
          <w:sz w:val="24"/>
          <w:szCs w:val="24"/>
        </w:rPr>
      </w:pPr>
      <w:r>
        <w:rPr>
          <w:rFonts w:cs="Arial" w:ascii="Arial" w:hAnsi="Arial"/>
          <w:b/>
          <w:bCs/>
          <w:sz w:val="24"/>
          <w:szCs w:val="24"/>
        </w:rPr>
        <w:t>Úvodní ustanovení</w:t>
      </w:r>
    </w:p>
    <w:p>
      <w:pPr>
        <w:pStyle w:val="Normal"/>
        <w:spacing w:lineRule="auto" w:line="240"/>
        <w:jc w:val="center"/>
        <w:rPr>
          <w:rFonts w:ascii="Arial" w:hAnsi="Arial" w:cs="Arial"/>
          <w:b/>
          <w:b/>
          <w:bCs/>
        </w:rPr>
      </w:pPr>
      <w:r>
        <w:rPr>
          <w:rFonts w:cs="Arial" w:ascii="Arial" w:hAnsi="Arial"/>
          <w:b/>
          <w:bCs/>
        </w:rPr>
      </w:r>
    </w:p>
    <w:p>
      <w:pPr>
        <w:pStyle w:val="Tlotextu"/>
        <w:numPr>
          <w:ilvl w:val="0"/>
          <w:numId w:val="24"/>
        </w:numPr>
        <w:tabs>
          <w:tab w:val="clear" w:pos="708"/>
          <w:tab w:val="left" w:pos="1440" w:leader="none"/>
          <w:tab w:val="left" w:pos="7020" w:leader="none"/>
        </w:tabs>
        <w:ind w:left="567" w:hanging="360"/>
        <w:jc w:val="both"/>
        <w:rPr>
          <w:rFonts w:ascii="Arial" w:hAnsi="Arial" w:cs="Arial"/>
          <w:bCs/>
          <w:sz w:val="22"/>
          <w:szCs w:val="22"/>
        </w:rPr>
      </w:pPr>
      <w:r>
        <w:rPr>
          <w:rFonts w:cs="Arial" w:ascii="Arial" w:hAnsi="Arial"/>
          <w:bCs/>
          <w:sz w:val="22"/>
          <w:szCs w:val="22"/>
        </w:rPr>
        <w:t>Tato vyhláška stanovuje obecní systém odpadového hospodářství na území obce Božanov.</w:t>
      </w:r>
    </w:p>
    <w:p>
      <w:pPr>
        <w:pStyle w:val="Tlotextu"/>
        <w:numPr>
          <w:ilvl w:val="0"/>
          <w:numId w:val="25"/>
        </w:numPr>
        <w:tabs>
          <w:tab w:val="clear" w:pos="708"/>
          <w:tab w:val="left" w:pos="1440" w:leader="none"/>
          <w:tab w:val="left" w:pos="7020" w:leader="none"/>
        </w:tabs>
        <w:spacing w:lineRule="auto" w:line="288"/>
        <w:ind w:left="567" w:hanging="360"/>
        <w:jc w:val="both"/>
        <w:rPr>
          <w:rFonts w:ascii="Arial" w:hAnsi="Arial" w:cs="Arial"/>
          <w:bCs/>
          <w:sz w:val="22"/>
          <w:szCs w:val="22"/>
        </w:rPr>
      </w:pPr>
      <w:r>
        <w:rPr>
          <w:rFonts w:cs="Arial" w:ascii="Arial" w:hAnsi="Arial"/>
          <w:bCs/>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Ukotvenpoznmkypodarou"/>
          <w:rFonts w:cs="Arial" w:ascii="Arial" w:hAnsi="Arial"/>
          <w:bCs/>
          <w:sz w:val="22"/>
          <w:szCs w:val="22"/>
          <w:vertAlign w:val="superscript"/>
        </w:rPr>
        <w:footnoteReference w:id="2"/>
      </w:r>
      <w:r>
        <w:rPr>
          <w:rFonts w:cs="Arial" w:ascii="Arial" w:hAnsi="Arial"/>
          <w:bCs/>
          <w:sz w:val="22"/>
          <w:szCs w:val="22"/>
        </w:rPr>
        <w:t>.</w:t>
      </w:r>
    </w:p>
    <w:p>
      <w:pPr>
        <w:pStyle w:val="Tlotextu"/>
        <w:numPr>
          <w:ilvl w:val="0"/>
          <w:numId w:val="26"/>
        </w:numPr>
        <w:tabs>
          <w:tab w:val="clear" w:pos="708"/>
          <w:tab w:val="left" w:pos="1440" w:leader="none"/>
          <w:tab w:val="left" w:pos="7020" w:leader="none"/>
        </w:tabs>
        <w:spacing w:lineRule="auto" w:line="288"/>
        <w:ind w:left="567" w:hanging="360"/>
        <w:jc w:val="both"/>
        <w:rPr>
          <w:rFonts w:ascii="Arial" w:hAnsi="Arial" w:cs="Arial"/>
          <w:bCs/>
          <w:sz w:val="22"/>
          <w:szCs w:val="22"/>
        </w:rPr>
      </w:pPr>
      <w:r>
        <w:rPr>
          <w:rFonts w:cs="Arial" w:ascii="Arial" w:hAnsi="Arial"/>
          <w:bCs/>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Pr>
          <w:rStyle w:val="Ukotvenpoznmkypodarou"/>
          <w:rFonts w:cs="Arial" w:ascii="Arial" w:hAnsi="Arial"/>
          <w:bCs/>
          <w:sz w:val="22"/>
          <w:szCs w:val="22"/>
          <w:vertAlign w:val="superscript"/>
        </w:rPr>
        <w:footnoteReference w:id="3"/>
      </w:r>
      <w:r>
        <w:rPr>
          <w:rFonts w:cs="Arial" w:ascii="Arial" w:hAnsi="Arial"/>
          <w:bCs/>
          <w:sz w:val="22"/>
          <w:szCs w:val="22"/>
        </w:rPr>
        <w:t>.</w:t>
      </w:r>
    </w:p>
    <w:p>
      <w:pPr>
        <w:pStyle w:val="Tlotextu"/>
        <w:numPr>
          <w:ilvl w:val="0"/>
          <w:numId w:val="27"/>
        </w:numPr>
        <w:tabs>
          <w:tab w:val="clear" w:pos="708"/>
          <w:tab w:val="left" w:pos="1440" w:leader="none"/>
          <w:tab w:val="left" w:pos="7020" w:leader="none"/>
        </w:tabs>
        <w:spacing w:lineRule="auto" w:line="288" w:before="171" w:after="291"/>
        <w:ind w:left="567" w:hanging="360"/>
        <w:jc w:val="both"/>
        <w:rPr>
          <w:rFonts w:ascii="Arial" w:hAnsi="Arial" w:cs="Arial"/>
          <w:bCs/>
          <w:sz w:val="22"/>
          <w:szCs w:val="22"/>
        </w:rPr>
      </w:pPr>
      <w:r>
        <w:rPr>
          <w:rFonts w:cs="Arial" w:ascii="Arial" w:hAnsi="Arial"/>
          <w:bCs/>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pPr>
        <w:pStyle w:val="NoSpacing"/>
        <w:jc w:val="center"/>
        <w:rPr>
          <w:rFonts w:ascii="Arial" w:hAnsi="Arial" w:cs="Arial"/>
          <w:b/>
          <w:b/>
          <w:bCs/>
          <w:sz w:val="24"/>
          <w:szCs w:val="24"/>
        </w:rPr>
      </w:pPr>
      <w:r>
        <w:rPr>
          <w:rFonts w:cs="Arial" w:ascii="Arial" w:hAnsi="Arial"/>
          <w:b/>
          <w:bCs/>
          <w:sz w:val="24"/>
          <w:szCs w:val="24"/>
        </w:rPr>
        <w:t>Čl. 2</w:t>
      </w:r>
    </w:p>
    <w:p>
      <w:pPr>
        <w:pStyle w:val="NoSpacing"/>
        <w:jc w:val="center"/>
        <w:rPr>
          <w:rFonts w:ascii="Arial" w:hAnsi="Arial" w:cs="Arial"/>
          <w:b/>
          <w:b/>
          <w:bCs/>
          <w:sz w:val="24"/>
          <w:szCs w:val="24"/>
        </w:rPr>
      </w:pPr>
      <w:r>
        <w:rPr>
          <w:rFonts w:cs="Arial" w:ascii="Arial" w:hAnsi="Arial"/>
          <w:b/>
          <w:bCs/>
          <w:sz w:val="24"/>
          <w:szCs w:val="24"/>
        </w:rPr>
        <w:t>Oddělené soustřeďování komunálního odpadu</w:t>
      </w:r>
    </w:p>
    <w:p>
      <w:pPr>
        <w:pStyle w:val="NoSpacing"/>
        <w:jc w:val="center"/>
        <w:rPr>
          <w:rFonts w:ascii="Arial" w:hAnsi="Arial" w:cs="Arial"/>
          <w:b/>
          <w:b/>
          <w:bCs/>
          <w:sz w:val="24"/>
          <w:szCs w:val="24"/>
        </w:rPr>
      </w:pPr>
      <w:r>
        <w:rPr>
          <w:rFonts w:cs="Arial" w:ascii="Arial" w:hAnsi="Arial"/>
          <w:b/>
          <w:bCs/>
          <w:sz w:val="24"/>
          <w:szCs w:val="24"/>
        </w:rPr>
      </w:r>
    </w:p>
    <w:p>
      <w:pPr>
        <w:pStyle w:val="Tlotextu"/>
        <w:numPr>
          <w:ilvl w:val="0"/>
          <w:numId w:val="28"/>
        </w:numPr>
        <w:tabs>
          <w:tab w:val="clear" w:pos="708"/>
          <w:tab w:val="left" w:pos="1440" w:leader="none"/>
          <w:tab w:val="left" w:pos="7020" w:leader="none"/>
        </w:tabs>
        <w:spacing w:lineRule="auto" w:line="288"/>
        <w:ind w:left="567" w:hanging="360"/>
        <w:jc w:val="both"/>
        <w:rPr>
          <w:rFonts w:ascii="Arial" w:hAnsi="Arial" w:cs="Arial"/>
          <w:bCs/>
          <w:sz w:val="22"/>
          <w:szCs w:val="22"/>
        </w:rPr>
      </w:pPr>
      <w:r>
        <w:rPr>
          <w:rFonts w:cs="Arial" w:ascii="Arial" w:hAnsi="Arial"/>
          <w:bCs/>
          <w:sz w:val="22"/>
          <w:szCs w:val="22"/>
        </w:rPr>
        <w:t>Osoby předávající komunální odpad na místa určená obcí jsou povinny odděleně soustřeďovat následující složky:</w:t>
      </w:r>
    </w:p>
    <w:p>
      <w:pPr>
        <w:pStyle w:val="ListParagraph"/>
        <w:numPr>
          <w:ilvl w:val="0"/>
          <w:numId w:val="11"/>
        </w:numPr>
        <w:ind w:left="993" w:hanging="360"/>
        <w:jc w:val="both"/>
        <w:rPr>
          <w:rFonts w:ascii="Arial" w:hAnsi="Arial" w:cs="Arial"/>
          <w:sz w:val="22"/>
          <w:szCs w:val="22"/>
        </w:rPr>
      </w:pPr>
      <w:r>
        <w:rPr>
          <w:rFonts w:cs="Arial" w:ascii="Arial" w:hAnsi="Arial"/>
        </w:rPr>
        <w:t>papír,</w:t>
      </w:r>
    </w:p>
    <w:p>
      <w:pPr>
        <w:pStyle w:val="ListParagraph"/>
        <w:numPr>
          <w:ilvl w:val="0"/>
          <w:numId w:val="11"/>
        </w:numPr>
        <w:ind w:left="993" w:hanging="360"/>
        <w:jc w:val="both"/>
        <w:rPr>
          <w:rFonts w:ascii="Arial" w:hAnsi="Arial" w:cs="Arial"/>
          <w:sz w:val="22"/>
          <w:szCs w:val="22"/>
        </w:rPr>
      </w:pPr>
      <w:r>
        <w:rPr>
          <w:rFonts w:cs="Arial" w:ascii="Arial" w:hAnsi="Arial"/>
        </w:rPr>
        <w:t>plasty včetně PET lahví,</w:t>
      </w:r>
    </w:p>
    <w:p>
      <w:pPr>
        <w:pStyle w:val="ListParagraph"/>
        <w:numPr>
          <w:ilvl w:val="0"/>
          <w:numId w:val="11"/>
        </w:numPr>
        <w:ind w:left="993" w:hanging="360"/>
        <w:jc w:val="both"/>
        <w:rPr>
          <w:rFonts w:ascii="Arial" w:hAnsi="Arial" w:cs="Arial"/>
          <w:sz w:val="22"/>
          <w:szCs w:val="22"/>
        </w:rPr>
      </w:pPr>
      <w:r>
        <w:rPr>
          <w:rFonts w:cs="Arial" w:ascii="Arial" w:hAnsi="Arial"/>
        </w:rPr>
        <w:t>sklo čiré,</w:t>
      </w:r>
    </w:p>
    <w:p>
      <w:pPr>
        <w:pStyle w:val="ListParagraph"/>
        <w:numPr>
          <w:ilvl w:val="0"/>
          <w:numId w:val="11"/>
        </w:numPr>
        <w:ind w:left="993" w:hanging="360"/>
        <w:jc w:val="both"/>
        <w:rPr>
          <w:rFonts w:ascii="Arial" w:hAnsi="Arial" w:cs="Arial"/>
          <w:sz w:val="22"/>
          <w:szCs w:val="22"/>
        </w:rPr>
      </w:pPr>
      <w:r>
        <w:rPr>
          <w:rFonts w:cs="Arial" w:ascii="Arial" w:hAnsi="Arial"/>
        </w:rPr>
        <w:t>sklo barevné,</w:t>
      </w:r>
    </w:p>
    <w:p>
      <w:pPr>
        <w:pStyle w:val="ListParagraph"/>
        <w:numPr>
          <w:ilvl w:val="0"/>
          <w:numId w:val="11"/>
        </w:numPr>
        <w:ind w:left="993" w:hanging="360"/>
        <w:jc w:val="both"/>
        <w:rPr>
          <w:rFonts w:ascii="Arial" w:hAnsi="Arial" w:cs="Arial"/>
          <w:sz w:val="22"/>
          <w:szCs w:val="22"/>
        </w:rPr>
      </w:pPr>
      <w:r>
        <w:rPr>
          <w:rFonts w:cs="Arial" w:ascii="Arial" w:hAnsi="Arial"/>
        </w:rPr>
        <w:t>kovy,</w:t>
      </w:r>
    </w:p>
    <w:p>
      <w:pPr>
        <w:pStyle w:val="ListParagraph"/>
        <w:numPr>
          <w:ilvl w:val="0"/>
          <w:numId w:val="11"/>
        </w:numPr>
        <w:ind w:left="993" w:hanging="360"/>
        <w:jc w:val="both"/>
        <w:rPr>
          <w:rFonts w:ascii="Arial" w:hAnsi="Arial" w:cs="Arial"/>
          <w:sz w:val="22"/>
          <w:szCs w:val="22"/>
        </w:rPr>
      </w:pPr>
      <w:r>
        <w:rPr>
          <w:rFonts w:cs="Arial" w:ascii="Arial" w:hAnsi="Arial"/>
          <w:iCs/>
        </w:rPr>
        <w:t>jedlé oleje a tuky</w:t>
      </w:r>
    </w:p>
    <w:p>
      <w:pPr>
        <w:pStyle w:val="ListParagraph"/>
        <w:numPr>
          <w:ilvl w:val="0"/>
          <w:numId w:val="11"/>
        </w:numPr>
        <w:ind w:left="993" w:hanging="360"/>
        <w:jc w:val="both"/>
        <w:rPr>
          <w:rFonts w:ascii="Arial" w:hAnsi="Arial" w:cs="Arial"/>
          <w:sz w:val="22"/>
          <w:szCs w:val="22"/>
        </w:rPr>
      </w:pPr>
      <w:r>
        <w:rPr>
          <w:rFonts w:cs="Arial" w:ascii="Arial" w:hAnsi="Arial"/>
        </w:rPr>
        <w:t>nebezpečné odpady,</w:t>
      </w:r>
    </w:p>
    <w:p>
      <w:pPr>
        <w:pStyle w:val="ListParagraph"/>
        <w:numPr>
          <w:ilvl w:val="0"/>
          <w:numId w:val="11"/>
        </w:numPr>
        <w:ind w:left="993" w:hanging="360"/>
        <w:jc w:val="both"/>
        <w:rPr>
          <w:rFonts w:ascii="Arial" w:hAnsi="Arial" w:cs="Arial"/>
          <w:sz w:val="22"/>
          <w:szCs w:val="22"/>
        </w:rPr>
      </w:pPr>
      <w:r>
        <w:rPr>
          <w:rFonts w:cs="Arial" w:ascii="Arial" w:hAnsi="Arial"/>
        </w:rPr>
        <w:t>objemný odpad,</w:t>
      </w:r>
    </w:p>
    <w:p>
      <w:pPr>
        <w:pStyle w:val="ListParagraph"/>
        <w:numPr>
          <w:ilvl w:val="0"/>
          <w:numId w:val="11"/>
        </w:numPr>
        <w:ind w:left="993" w:hanging="360"/>
        <w:jc w:val="both"/>
        <w:rPr>
          <w:rFonts w:ascii="Arial" w:hAnsi="Arial" w:cs="Arial"/>
          <w:sz w:val="22"/>
          <w:szCs w:val="22"/>
        </w:rPr>
      </w:pPr>
      <w:r>
        <w:rPr>
          <w:rFonts w:cs="Arial" w:ascii="Arial" w:hAnsi="Arial"/>
        </w:rPr>
        <w:t>oděvy a textil,</w:t>
      </w:r>
    </w:p>
    <w:p>
      <w:pPr>
        <w:pStyle w:val="ListParagraph"/>
        <w:numPr>
          <w:ilvl w:val="0"/>
          <w:numId w:val="11"/>
        </w:numPr>
        <w:ind w:left="993" w:hanging="360"/>
        <w:jc w:val="both"/>
        <w:rPr>
          <w:rFonts w:ascii="Arial" w:hAnsi="Arial" w:cs="Arial"/>
          <w:sz w:val="22"/>
          <w:szCs w:val="22"/>
        </w:rPr>
      </w:pPr>
      <w:r>
        <w:rPr>
          <w:rFonts w:cs="Arial" w:ascii="Arial" w:hAnsi="Arial"/>
          <w:iCs/>
        </w:rPr>
        <w:t>směsný komunální odpad.</w:t>
      </w:r>
    </w:p>
    <w:p>
      <w:pPr>
        <w:pStyle w:val="Tlotextu"/>
        <w:tabs>
          <w:tab w:val="clear" w:pos="708"/>
          <w:tab w:val="left" w:pos="1440" w:leader="none"/>
          <w:tab w:val="left" w:pos="7020" w:leader="none"/>
        </w:tabs>
        <w:spacing w:lineRule="auto" w:line="288"/>
        <w:jc w:val="both"/>
        <w:rPr>
          <w:rFonts w:ascii="Arial" w:hAnsi="Arial" w:cs="Arial"/>
          <w:bCs/>
          <w:i/>
          <w:i/>
          <w:sz w:val="22"/>
          <w:szCs w:val="22"/>
        </w:rPr>
      </w:pPr>
      <w:r>
        <w:rPr>
          <w:rFonts w:cs="Arial" w:ascii="Arial" w:hAnsi="Arial"/>
          <w:bCs/>
          <w:i/>
          <w:sz w:val="22"/>
          <w:szCs w:val="22"/>
        </w:rPr>
      </w:r>
    </w:p>
    <w:p>
      <w:pPr>
        <w:pStyle w:val="Tlotextu"/>
        <w:numPr>
          <w:ilvl w:val="0"/>
          <w:numId w:val="29"/>
        </w:numPr>
        <w:tabs>
          <w:tab w:val="clear" w:pos="708"/>
          <w:tab w:val="left" w:pos="1440" w:leader="none"/>
          <w:tab w:val="left" w:pos="7020" w:leader="none"/>
        </w:tabs>
        <w:spacing w:lineRule="auto" w:line="288" w:before="171" w:after="291"/>
        <w:jc w:val="both"/>
        <w:rPr>
          <w:rFonts w:ascii="Arial" w:hAnsi="Arial" w:cs="Arial"/>
          <w:bCs/>
          <w:sz w:val="22"/>
          <w:szCs w:val="22"/>
        </w:rPr>
      </w:pPr>
      <w:r>
        <w:rPr>
          <w:rFonts w:cs="Arial" w:ascii="Arial" w:hAnsi="Arial"/>
          <w:bCs/>
          <w:sz w:val="22"/>
          <w:szCs w:val="22"/>
        </w:rPr>
        <w:t>Směsným komunálním odpadem se rozumí zbylý komunální odpad po stanoveném vytřídění podle odstavce 1 písm. a) až i).</w:t>
      </w:r>
    </w:p>
    <w:p>
      <w:pPr>
        <w:pStyle w:val="NoSpacing"/>
        <w:jc w:val="center"/>
        <w:rPr>
          <w:rFonts w:ascii="Arial" w:hAnsi="Arial" w:cs="Arial"/>
          <w:b/>
          <w:b/>
          <w:bCs/>
          <w:sz w:val="24"/>
          <w:szCs w:val="24"/>
        </w:rPr>
      </w:pPr>
      <w:r>
        <w:rPr>
          <w:rFonts w:cs="Arial" w:ascii="Arial" w:hAnsi="Arial"/>
          <w:b/>
          <w:bCs/>
          <w:sz w:val="24"/>
          <w:szCs w:val="24"/>
        </w:rPr>
        <w:t>Čl. 3</w:t>
      </w:r>
    </w:p>
    <w:p>
      <w:pPr>
        <w:pStyle w:val="NoSpacing"/>
        <w:jc w:val="center"/>
        <w:rPr>
          <w:rFonts w:ascii="Arial" w:hAnsi="Arial" w:cs="Arial"/>
          <w:b/>
          <w:b/>
          <w:bCs/>
          <w:sz w:val="24"/>
          <w:szCs w:val="24"/>
        </w:rPr>
      </w:pPr>
      <w:r>
        <w:rPr>
          <w:rFonts w:cs="Arial" w:ascii="Arial" w:hAnsi="Arial"/>
          <w:b/>
          <w:bCs/>
          <w:sz w:val="24"/>
          <w:szCs w:val="24"/>
        </w:rPr>
        <w:t>Určení míst pro oddělené soustřeďování určených složek komunálního odpadu</w:t>
      </w:r>
    </w:p>
    <w:p>
      <w:pPr>
        <w:pStyle w:val="Tlotextu"/>
        <w:tabs>
          <w:tab w:val="clear" w:pos="708"/>
          <w:tab w:val="left" w:pos="1440" w:leader="none"/>
          <w:tab w:val="left" w:pos="7020" w:leader="none"/>
        </w:tabs>
        <w:spacing w:lineRule="auto" w:line="288"/>
        <w:jc w:val="both"/>
        <w:rPr>
          <w:rFonts w:ascii="Arial" w:hAnsi="Arial" w:cs="Arial"/>
          <w:b/>
          <w:b/>
          <w:bCs/>
          <w:sz w:val="22"/>
          <w:szCs w:val="22"/>
          <w:u w:val="single"/>
        </w:rPr>
      </w:pPr>
      <w:r>
        <w:rPr>
          <w:rFonts w:cs="Arial" w:ascii="Arial" w:hAnsi="Arial"/>
          <w:b/>
          <w:bCs/>
          <w:sz w:val="22"/>
          <w:szCs w:val="22"/>
          <w:u w:val="single"/>
        </w:rPr>
      </w:r>
    </w:p>
    <w:p>
      <w:pPr>
        <w:pStyle w:val="Tlotextu"/>
        <w:numPr>
          <w:ilvl w:val="0"/>
          <w:numId w:val="30"/>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Papír, plasty, sklo čiré, sklo barevné, kovy, jedlé oleje a tuky, oděvy a textil se soustřeďují do zvláštních sběrných nádob a velkoobjemových kontejnerů.</w:t>
      </w:r>
    </w:p>
    <w:p>
      <w:pPr>
        <w:pStyle w:val="Tlotextu"/>
        <w:numPr>
          <w:ilvl w:val="0"/>
          <w:numId w:val="31"/>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Zvláštní sběrné nádoby a velkoobjemové kontejnery jsou umístěny na stanovištích:</w:t>
      </w:r>
    </w:p>
    <w:p>
      <w:pPr>
        <w:pStyle w:val="NoSpacing"/>
        <w:numPr>
          <w:ilvl w:val="0"/>
          <w:numId w:val="12"/>
        </w:numPr>
        <w:rPr/>
      </w:pPr>
      <w:r>
        <w:rPr>
          <w:rFonts w:cs="Arial" w:ascii="Arial" w:hAnsi="Arial"/>
        </w:rPr>
        <w:t>u horní otočky autobusu</w:t>
      </w:r>
      <w:r>
        <w:rPr/>
        <w:t>,</w:t>
      </w:r>
    </w:p>
    <w:p>
      <w:pPr>
        <w:pStyle w:val="NoSpacing"/>
        <w:numPr>
          <w:ilvl w:val="0"/>
          <w:numId w:val="12"/>
        </w:numPr>
        <w:rPr/>
      </w:pPr>
      <w:r>
        <w:rPr>
          <w:rFonts w:cs="Arial" w:ascii="Arial" w:hAnsi="Arial"/>
        </w:rPr>
        <w:t>u čp. 230</w:t>
      </w:r>
    </w:p>
    <w:p>
      <w:pPr>
        <w:pStyle w:val="NoSpacing"/>
        <w:numPr>
          <w:ilvl w:val="0"/>
          <w:numId w:val="12"/>
        </w:numPr>
        <w:rPr/>
      </w:pPr>
      <w:r>
        <w:rPr>
          <w:rFonts w:cs="Arial" w:ascii="Arial" w:hAnsi="Arial"/>
        </w:rPr>
        <w:t>u čp. 249</w:t>
      </w:r>
    </w:p>
    <w:p>
      <w:pPr>
        <w:pStyle w:val="NoSpacing"/>
        <w:numPr>
          <w:ilvl w:val="0"/>
          <w:numId w:val="12"/>
        </w:numPr>
        <w:rPr/>
      </w:pPr>
      <w:r>
        <w:rPr>
          <w:rFonts w:cs="Arial" w:ascii="Arial" w:hAnsi="Arial"/>
        </w:rPr>
        <w:t>u obecního úřadu</w:t>
      </w:r>
    </w:p>
    <w:p>
      <w:pPr>
        <w:pStyle w:val="NoSpacing"/>
        <w:numPr>
          <w:ilvl w:val="0"/>
          <w:numId w:val="12"/>
        </w:numPr>
        <w:rPr/>
      </w:pPr>
      <w:r>
        <w:rPr>
          <w:rFonts w:cs="Arial" w:ascii="Arial" w:hAnsi="Arial"/>
        </w:rPr>
        <w:t>u ČOV</w:t>
      </w:r>
    </w:p>
    <w:p>
      <w:pPr>
        <w:pStyle w:val="NoSpacing"/>
        <w:numPr>
          <w:ilvl w:val="0"/>
          <w:numId w:val="12"/>
        </w:numPr>
        <w:rPr/>
      </w:pPr>
      <w:r>
        <w:rPr>
          <w:rFonts w:cs="Arial" w:ascii="Arial" w:hAnsi="Arial"/>
        </w:rPr>
        <w:t>u dolní otáčky autobusu</w:t>
      </w:r>
    </w:p>
    <w:p>
      <w:pPr>
        <w:pStyle w:val="NoSpacing"/>
        <w:rPr/>
      </w:pPr>
      <w:r>
        <w:rPr/>
      </w:r>
    </w:p>
    <w:p>
      <w:pPr>
        <w:pStyle w:val="Tlotextu"/>
        <w:numPr>
          <w:ilvl w:val="0"/>
          <w:numId w:val="32"/>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Zvláštní sběrné nádoby a velkoobjemové kontejnery jsou barevně odlišeny a případně označeny příslušnými nápisy:</w:t>
      </w:r>
    </w:p>
    <w:p>
      <w:pPr>
        <w:pStyle w:val="ListParagraph"/>
        <w:numPr>
          <w:ilvl w:val="0"/>
          <w:numId w:val="9"/>
        </w:numPr>
        <w:rPr>
          <w:rFonts w:ascii="Arial" w:hAnsi="Arial" w:cs="Arial"/>
          <w:sz w:val="22"/>
          <w:szCs w:val="22"/>
        </w:rPr>
      </w:pPr>
      <w:r>
        <w:rPr>
          <w:rFonts w:cs="Arial" w:ascii="Arial" w:hAnsi="Arial"/>
          <w:sz w:val="22"/>
          <w:szCs w:val="22"/>
        </w:rPr>
        <w:t>papír, barva modrá,</w:t>
      </w:r>
    </w:p>
    <w:p>
      <w:pPr>
        <w:pStyle w:val="ListParagraph"/>
        <w:numPr>
          <w:ilvl w:val="0"/>
          <w:numId w:val="9"/>
        </w:numPr>
        <w:rPr>
          <w:rFonts w:ascii="Arial" w:hAnsi="Arial" w:cs="Arial"/>
          <w:sz w:val="22"/>
          <w:szCs w:val="22"/>
        </w:rPr>
      </w:pPr>
      <w:r>
        <w:rPr>
          <w:rFonts w:cs="Arial" w:ascii="Arial" w:hAnsi="Arial"/>
          <w:sz w:val="22"/>
          <w:szCs w:val="22"/>
        </w:rPr>
        <w:t>plasty, PET lahve, barva žlutá,</w:t>
      </w:r>
    </w:p>
    <w:p>
      <w:pPr>
        <w:pStyle w:val="ListParagraph"/>
        <w:numPr>
          <w:ilvl w:val="0"/>
          <w:numId w:val="9"/>
        </w:numPr>
        <w:rPr>
          <w:rFonts w:ascii="Arial" w:hAnsi="Arial" w:cs="Arial"/>
          <w:sz w:val="22"/>
          <w:szCs w:val="22"/>
        </w:rPr>
      </w:pPr>
      <w:r>
        <w:rPr>
          <w:rFonts w:cs="Arial" w:ascii="Arial" w:hAnsi="Arial"/>
          <w:sz w:val="22"/>
          <w:szCs w:val="22"/>
        </w:rPr>
        <w:t>sklo čiré, barva bílá,</w:t>
      </w:r>
    </w:p>
    <w:p>
      <w:pPr>
        <w:pStyle w:val="ListParagraph"/>
        <w:numPr>
          <w:ilvl w:val="0"/>
          <w:numId w:val="9"/>
        </w:numPr>
        <w:rPr>
          <w:rFonts w:ascii="Arial" w:hAnsi="Arial" w:cs="Arial"/>
          <w:sz w:val="22"/>
          <w:szCs w:val="22"/>
        </w:rPr>
      </w:pPr>
      <w:r>
        <w:rPr>
          <w:rFonts w:cs="Arial" w:ascii="Arial" w:hAnsi="Arial"/>
          <w:sz w:val="22"/>
          <w:szCs w:val="22"/>
        </w:rPr>
        <w:t>sklo barevné, barva zelená,</w:t>
      </w:r>
    </w:p>
    <w:p>
      <w:pPr>
        <w:pStyle w:val="ListParagraph"/>
        <w:numPr>
          <w:ilvl w:val="0"/>
          <w:numId w:val="9"/>
        </w:numPr>
        <w:rPr>
          <w:rFonts w:ascii="Arial" w:hAnsi="Arial" w:cs="Arial"/>
          <w:sz w:val="22"/>
          <w:szCs w:val="22"/>
        </w:rPr>
      </w:pPr>
      <w:r>
        <w:rPr>
          <w:rFonts w:cs="Arial" w:ascii="Arial" w:hAnsi="Arial"/>
          <w:iCs/>
          <w:sz w:val="22"/>
          <w:szCs w:val="22"/>
        </w:rPr>
        <w:t>jedlé oleje a tuky</w:t>
      </w:r>
      <w:r>
        <w:rPr>
          <w:rStyle w:val="Ukotvenpoznmkypodarou"/>
          <w:rFonts w:cs="Arial" w:ascii="Arial" w:hAnsi="Arial"/>
          <w:sz w:val="22"/>
          <w:szCs w:val="22"/>
          <w:vertAlign w:val="superscript"/>
        </w:rPr>
        <w:footnoteReference w:id="4"/>
      </w:r>
      <w:r>
        <w:rPr>
          <w:rFonts w:cs="Arial" w:ascii="Arial" w:hAnsi="Arial"/>
          <w:iCs/>
          <w:sz w:val="22"/>
          <w:szCs w:val="22"/>
        </w:rPr>
        <w:t>, barva červená,</w:t>
      </w:r>
    </w:p>
    <w:p>
      <w:pPr>
        <w:pStyle w:val="ListParagraph"/>
        <w:numPr>
          <w:ilvl w:val="0"/>
          <w:numId w:val="9"/>
        </w:numPr>
        <w:rPr>
          <w:rFonts w:ascii="Arial" w:hAnsi="Arial" w:cs="Arial"/>
          <w:sz w:val="22"/>
          <w:szCs w:val="22"/>
        </w:rPr>
      </w:pPr>
      <w:r>
        <w:rPr>
          <w:rFonts w:cs="Arial" w:ascii="Arial" w:hAnsi="Arial"/>
          <w:iCs/>
          <w:sz w:val="22"/>
          <w:szCs w:val="22"/>
        </w:rPr>
        <w:t>kovy barva hnědá, případně šedostříbrná</w:t>
      </w:r>
    </w:p>
    <w:p>
      <w:pPr>
        <w:pStyle w:val="ListParagraph"/>
        <w:numPr>
          <w:ilvl w:val="0"/>
          <w:numId w:val="9"/>
        </w:numPr>
        <w:rPr>
          <w:rFonts w:ascii="Arial" w:hAnsi="Arial" w:cs="Arial"/>
          <w:sz w:val="22"/>
          <w:szCs w:val="22"/>
        </w:rPr>
      </w:pPr>
      <w:r>
        <w:rPr>
          <w:rFonts w:cs="Arial" w:ascii="Arial" w:hAnsi="Arial"/>
          <w:iCs/>
          <w:sz w:val="22"/>
          <w:szCs w:val="22"/>
        </w:rPr>
        <w:t>oděvy a textil, barva oranžová</w:t>
      </w:r>
    </w:p>
    <w:p>
      <w:pPr>
        <w:pStyle w:val="ListParagraph"/>
        <w:rPr>
          <w:rFonts w:ascii="Arial" w:hAnsi="Arial" w:cs="Arial"/>
          <w:sz w:val="22"/>
          <w:szCs w:val="22"/>
        </w:rPr>
      </w:pPr>
      <w:r>
        <w:rPr>
          <w:rFonts w:cs="Arial" w:ascii="Arial" w:hAnsi="Arial"/>
          <w:sz w:val="22"/>
          <w:szCs w:val="22"/>
        </w:rPr>
      </w:r>
    </w:p>
    <w:p>
      <w:pPr>
        <w:pStyle w:val="Tlotextu"/>
        <w:numPr>
          <w:ilvl w:val="0"/>
          <w:numId w:val="33"/>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Do zvláštních sběrných nádob a kontejnerů je zakázáno ukládat jiné složky komunálních odpadů, než pro které jsou určeny.</w:t>
      </w:r>
    </w:p>
    <w:p>
      <w:pPr>
        <w:pStyle w:val="Tlotextu"/>
        <w:numPr>
          <w:ilvl w:val="0"/>
          <w:numId w:val="34"/>
        </w:numPr>
        <w:tabs>
          <w:tab w:val="clear" w:pos="708"/>
          <w:tab w:val="left" w:pos="1440" w:leader="none"/>
          <w:tab w:val="left" w:pos="7020" w:leader="none"/>
        </w:tabs>
        <w:spacing w:lineRule="auto" w:line="288" w:before="171" w:after="291"/>
        <w:jc w:val="both"/>
        <w:rPr>
          <w:rFonts w:ascii="Arial" w:hAnsi="Arial" w:cs="Arial"/>
          <w:bCs/>
          <w:sz w:val="22"/>
          <w:szCs w:val="22"/>
        </w:rPr>
      </w:pPr>
      <w:r>
        <w:rPr>
          <w:rFonts w:cs="Arial" w:ascii="Arial" w:hAnsi="Arial"/>
          <w:bCs/>
          <w:sz w:val="22"/>
          <w:szCs w:val="22"/>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pPr>
        <w:pStyle w:val="NoSpacing"/>
        <w:jc w:val="center"/>
        <w:rPr>
          <w:rFonts w:ascii="Arial" w:hAnsi="Arial" w:cs="Arial"/>
          <w:b/>
          <w:b/>
          <w:bCs/>
          <w:sz w:val="24"/>
          <w:szCs w:val="24"/>
        </w:rPr>
      </w:pPr>
      <w:r>
        <w:rPr>
          <w:rFonts w:cs="Arial" w:ascii="Arial" w:hAnsi="Arial"/>
          <w:b/>
          <w:bCs/>
          <w:sz w:val="24"/>
          <w:szCs w:val="24"/>
        </w:rPr>
        <w:t>Čl. 4</w:t>
      </w:r>
    </w:p>
    <w:p>
      <w:pPr>
        <w:pStyle w:val="NoSpacing"/>
        <w:jc w:val="center"/>
        <w:rPr>
          <w:rFonts w:ascii="Arial" w:hAnsi="Arial" w:cs="Arial"/>
          <w:b/>
          <w:b/>
          <w:bCs/>
          <w:sz w:val="24"/>
          <w:szCs w:val="24"/>
        </w:rPr>
      </w:pPr>
      <w:r>
        <w:rPr>
          <w:rFonts w:cs="Arial" w:ascii="Arial" w:hAnsi="Arial"/>
          <w:b/>
          <w:bCs/>
          <w:sz w:val="24"/>
          <w:szCs w:val="24"/>
        </w:rPr>
        <w:t>Sběr a svoz nebezpečných složek komunálního odpadu</w:t>
      </w:r>
    </w:p>
    <w:p>
      <w:pPr>
        <w:pStyle w:val="Tlotextu"/>
        <w:tabs>
          <w:tab w:val="clear" w:pos="708"/>
          <w:tab w:val="left" w:pos="1440" w:leader="none"/>
          <w:tab w:val="left" w:pos="7020" w:leader="none"/>
        </w:tabs>
        <w:spacing w:lineRule="auto" w:line="288"/>
        <w:jc w:val="center"/>
        <w:rPr>
          <w:rFonts w:ascii="Arial" w:hAnsi="Arial" w:cs="Arial"/>
          <w:b/>
          <w:b/>
          <w:bCs/>
          <w:sz w:val="22"/>
          <w:szCs w:val="22"/>
        </w:rPr>
      </w:pPr>
      <w:r>
        <w:rPr>
          <w:rFonts w:cs="Arial" w:ascii="Arial" w:hAnsi="Arial"/>
          <w:b/>
          <w:bCs/>
          <w:sz w:val="22"/>
          <w:szCs w:val="22"/>
        </w:rPr>
      </w:r>
    </w:p>
    <w:p>
      <w:pPr>
        <w:pStyle w:val="Tlotextu"/>
        <w:numPr>
          <w:ilvl w:val="0"/>
          <w:numId w:val="35"/>
        </w:numPr>
        <w:tabs>
          <w:tab w:val="clear" w:pos="708"/>
          <w:tab w:val="left" w:pos="1440" w:leader="none"/>
          <w:tab w:val="left" w:pos="7020" w:leader="none"/>
        </w:tabs>
        <w:spacing w:lineRule="auto" w:line="288"/>
        <w:jc w:val="both"/>
        <w:rPr>
          <w:rFonts w:ascii="Arial" w:hAnsi="Arial" w:cs="Arial"/>
          <w:bCs/>
          <w:i/>
          <w:i/>
          <w:iCs/>
          <w:sz w:val="22"/>
          <w:szCs w:val="22"/>
        </w:rPr>
      </w:pPr>
      <w:r>
        <w:rPr>
          <w:rFonts w:cs="Arial" w:ascii="Arial" w:hAnsi="Arial"/>
          <w:bCs/>
          <w:sz w:val="22"/>
          <w:szCs w:val="22"/>
        </w:rPr>
        <w:t xml:space="preserve">Sběr a svoz nebezpečných složek komunálního odpadu je zajišťován </w:t>
      </w:r>
      <w:r>
        <w:rPr>
          <w:rFonts w:cs="Arial" w:ascii="Arial" w:hAnsi="Arial"/>
          <w:bCs/>
          <w:iCs/>
          <w:sz w:val="22"/>
          <w:szCs w:val="22"/>
        </w:rPr>
        <w:t>minimálně dvakrát ročně</w:t>
      </w:r>
      <w:r>
        <w:rPr>
          <w:rFonts w:cs="Arial" w:ascii="Arial" w:hAnsi="Arial"/>
          <w:bCs/>
          <w:sz w:val="22"/>
          <w:szCs w:val="22"/>
        </w:rPr>
        <w:t xml:space="preserve"> jejich odebíráním na předem vyhlášených přechodných stanovištích přímo </w:t>
        <w:br/>
        <w:t xml:space="preserve">do zvláštních sběrných nádob k tomuto sběru určených. Informace o sběru jsou zveřejňovány </w:t>
      </w:r>
      <w:bookmarkStart w:id="0" w:name="_Hlk32759882"/>
      <w:r>
        <w:rPr>
          <w:rFonts w:cs="Arial" w:ascii="Arial" w:hAnsi="Arial"/>
          <w:bCs/>
          <w:sz w:val="22"/>
          <w:szCs w:val="22"/>
        </w:rPr>
        <w:t>na úřední desce obecního úřadu</w:t>
      </w:r>
      <w:bookmarkEnd w:id="0"/>
      <w:r>
        <w:rPr>
          <w:rFonts w:cs="Arial" w:ascii="Arial" w:hAnsi="Arial"/>
          <w:bCs/>
          <w:sz w:val="22"/>
          <w:szCs w:val="22"/>
        </w:rPr>
        <w:t>, výlepových plochách a v místním SMS rozhlase.</w:t>
      </w:r>
    </w:p>
    <w:p>
      <w:pPr>
        <w:pStyle w:val="Tlotextu"/>
        <w:numPr>
          <w:ilvl w:val="0"/>
          <w:numId w:val="36"/>
        </w:numPr>
        <w:tabs>
          <w:tab w:val="clear" w:pos="708"/>
          <w:tab w:val="left" w:pos="1440" w:leader="none"/>
          <w:tab w:val="left" w:pos="7020" w:leader="none"/>
        </w:tabs>
        <w:spacing w:lineRule="auto" w:line="288" w:before="171" w:after="291"/>
        <w:jc w:val="both"/>
        <w:rPr>
          <w:rFonts w:ascii="Arial" w:hAnsi="Arial" w:cs="Arial"/>
          <w:bCs/>
          <w:sz w:val="22"/>
          <w:szCs w:val="22"/>
        </w:rPr>
      </w:pPr>
      <w:r>
        <w:rPr>
          <w:rFonts w:cs="Arial" w:ascii="Arial" w:hAnsi="Arial"/>
          <w:bCs/>
          <w:sz w:val="22"/>
          <w:szCs w:val="22"/>
        </w:rPr>
        <w:t>Shromažďování nebezpečného odpadu podléhá požadavkům stanoveným v čl. 3 odst. 4 a 5.</w:t>
      </w:r>
    </w:p>
    <w:p>
      <w:pPr>
        <w:pStyle w:val="NoSpacing"/>
        <w:jc w:val="center"/>
        <w:rPr>
          <w:rFonts w:ascii="Arial" w:hAnsi="Arial" w:cs="Arial"/>
          <w:b/>
          <w:b/>
          <w:bCs/>
          <w:sz w:val="24"/>
          <w:szCs w:val="24"/>
        </w:rPr>
      </w:pPr>
      <w:r>
        <w:rPr>
          <w:rFonts w:cs="Arial" w:ascii="Arial" w:hAnsi="Arial"/>
          <w:b/>
          <w:bCs/>
          <w:sz w:val="24"/>
          <w:szCs w:val="24"/>
        </w:rPr>
        <w:t>Čl. 5</w:t>
      </w:r>
    </w:p>
    <w:p>
      <w:pPr>
        <w:pStyle w:val="NoSpacing"/>
        <w:jc w:val="center"/>
        <w:rPr>
          <w:rFonts w:ascii="Arial" w:hAnsi="Arial" w:cs="Arial"/>
          <w:b/>
          <w:b/>
          <w:bCs/>
          <w:sz w:val="24"/>
          <w:szCs w:val="24"/>
        </w:rPr>
      </w:pPr>
      <w:r>
        <w:rPr>
          <w:rFonts w:cs="Arial" w:ascii="Arial" w:hAnsi="Arial"/>
          <w:b/>
          <w:bCs/>
          <w:sz w:val="24"/>
          <w:szCs w:val="24"/>
        </w:rPr>
        <w:t>Sběr a svoz objemného odpadu</w:t>
      </w:r>
    </w:p>
    <w:p>
      <w:pPr>
        <w:pStyle w:val="Tlotextu"/>
        <w:tabs>
          <w:tab w:val="clear" w:pos="708"/>
          <w:tab w:val="left" w:pos="1440" w:leader="none"/>
          <w:tab w:val="left" w:pos="7020" w:leader="none"/>
        </w:tabs>
        <w:spacing w:lineRule="auto" w:line="288"/>
        <w:jc w:val="center"/>
        <w:rPr>
          <w:rFonts w:ascii="Arial" w:hAnsi="Arial" w:cs="Arial"/>
          <w:b/>
          <w:b/>
          <w:bCs/>
          <w:sz w:val="22"/>
          <w:szCs w:val="22"/>
          <w:u w:val="single"/>
        </w:rPr>
      </w:pPr>
      <w:r>
        <w:rPr>
          <w:rFonts w:cs="Arial" w:ascii="Arial" w:hAnsi="Arial"/>
          <w:b/>
          <w:bCs/>
          <w:sz w:val="22"/>
          <w:szCs w:val="22"/>
          <w:u w:val="single"/>
        </w:rPr>
      </w:r>
    </w:p>
    <w:p>
      <w:pPr>
        <w:pStyle w:val="Tlotextu"/>
        <w:numPr>
          <w:ilvl w:val="0"/>
          <w:numId w:val="37"/>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Objemný odpad je takový odpad, který vzhledem ke svým rozměrům nemůže být umístěn do sběrných (např. koberce, nábytek apod.)</w:t>
      </w:r>
    </w:p>
    <w:p>
      <w:pPr>
        <w:pStyle w:val="Tlotextu"/>
        <w:numPr>
          <w:ilvl w:val="0"/>
          <w:numId w:val="38"/>
        </w:numPr>
        <w:tabs>
          <w:tab w:val="clear" w:pos="708"/>
          <w:tab w:val="left" w:pos="1440" w:leader="none"/>
          <w:tab w:val="left" w:pos="7020" w:leader="none"/>
        </w:tabs>
        <w:spacing w:lineRule="auto" w:line="288"/>
        <w:jc w:val="both"/>
        <w:rPr>
          <w:rFonts w:ascii="Arial" w:hAnsi="Arial" w:cs="Arial"/>
          <w:bCs/>
          <w:iCs/>
          <w:sz w:val="22"/>
          <w:szCs w:val="22"/>
        </w:rPr>
      </w:pPr>
      <w:r>
        <w:rPr>
          <w:rFonts w:cs="Arial" w:ascii="Arial" w:hAnsi="Arial"/>
          <w:bCs/>
          <w:sz w:val="22"/>
          <w:szCs w:val="22"/>
        </w:rPr>
        <w:t>Sběr a svoz objemného odpadu je zajišťován dvakrát ročně jeho odebíráním na předem vyhlášených přechodných stanovištích přímo do zvláštních sběrných nádob k tomuto účelu určených. Informace o sběru jsou zveřejňovány na úřední desce obecního úřadu, výlepových plochách a v místním SMS rozhlase.</w:t>
      </w:r>
    </w:p>
    <w:p>
      <w:pPr>
        <w:pStyle w:val="Tlotextu"/>
        <w:numPr>
          <w:ilvl w:val="0"/>
          <w:numId w:val="39"/>
        </w:numPr>
        <w:tabs>
          <w:tab w:val="clear" w:pos="708"/>
          <w:tab w:val="left" w:pos="1440" w:leader="none"/>
          <w:tab w:val="left" w:pos="7020" w:leader="none"/>
        </w:tabs>
        <w:spacing w:lineRule="auto" w:line="288" w:before="171" w:after="291"/>
        <w:jc w:val="both"/>
        <w:rPr>
          <w:rFonts w:ascii="Arial" w:hAnsi="Arial" w:cs="Arial"/>
          <w:bCs/>
          <w:sz w:val="22"/>
          <w:szCs w:val="22"/>
        </w:rPr>
      </w:pPr>
      <w:r>
        <w:rPr>
          <w:rFonts w:cs="Arial" w:ascii="Arial" w:hAnsi="Arial"/>
          <w:bCs/>
          <w:sz w:val="22"/>
          <w:szCs w:val="22"/>
        </w:rPr>
        <w:t xml:space="preserve">Shromažďování objemného odpadu podléhá požadavkům stanoveným v čl. 3 odst. 4 a 5. </w:t>
      </w:r>
    </w:p>
    <w:p>
      <w:pPr>
        <w:pStyle w:val="NoSpacing"/>
        <w:jc w:val="center"/>
        <w:rPr>
          <w:rFonts w:ascii="Arial" w:hAnsi="Arial" w:cs="Arial"/>
          <w:b/>
          <w:b/>
          <w:bCs/>
          <w:sz w:val="24"/>
          <w:szCs w:val="24"/>
        </w:rPr>
      </w:pPr>
      <w:r>
        <w:rPr>
          <w:rFonts w:cs="Arial" w:ascii="Arial" w:hAnsi="Arial"/>
          <w:b/>
          <w:bCs/>
          <w:sz w:val="24"/>
          <w:szCs w:val="24"/>
        </w:rPr>
        <w:t>Čl. 6</w:t>
      </w:r>
    </w:p>
    <w:p>
      <w:pPr>
        <w:pStyle w:val="NoSpacing"/>
        <w:jc w:val="center"/>
        <w:rPr>
          <w:rFonts w:ascii="Arial" w:hAnsi="Arial" w:cs="Arial"/>
          <w:b/>
          <w:b/>
          <w:bCs/>
          <w:sz w:val="24"/>
          <w:szCs w:val="24"/>
        </w:rPr>
      </w:pPr>
      <w:r>
        <w:rPr>
          <w:rFonts w:cs="Arial" w:ascii="Arial" w:hAnsi="Arial"/>
          <w:b/>
          <w:bCs/>
          <w:sz w:val="24"/>
          <w:szCs w:val="24"/>
        </w:rPr>
        <w:t>Shromažďování směsného komunálního odpadu</w:t>
      </w:r>
    </w:p>
    <w:p>
      <w:pPr>
        <w:pStyle w:val="Normal"/>
        <w:jc w:val="center"/>
        <w:rPr>
          <w:rFonts w:ascii="Arial" w:hAnsi="Arial" w:cs="Arial"/>
          <w:b/>
          <w:b/>
          <w:bCs/>
        </w:rPr>
      </w:pPr>
      <w:r>
        <w:rPr>
          <w:rFonts w:cs="Arial" w:ascii="Arial" w:hAnsi="Arial"/>
          <w:b/>
          <w:bCs/>
        </w:rPr>
      </w:r>
    </w:p>
    <w:p>
      <w:pPr>
        <w:pStyle w:val="Tlotextu"/>
        <w:numPr>
          <w:ilvl w:val="0"/>
          <w:numId w:val="40"/>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 xml:space="preserve">Směsný komunální odpad se odkládá do sběrných nádob. Pro účely této vyhlášky </w:t>
        <w:br/>
        <w:t>se sběrnými nádobami rozumějí:</w:t>
      </w:r>
    </w:p>
    <w:p>
      <w:pPr>
        <w:pStyle w:val="ListParagraph"/>
        <w:numPr>
          <w:ilvl w:val="0"/>
          <w:numId w:val="10"/>
        </w:numPr>
        <w:rPr>
          <w:rFonts w:ascii="Arial" w:hAnsi="Arial" w:cs="Arial"/>
          <w:sz w:val="22"/>
          <w:szCs w:val="22"/>
        </w:rPr>
      </w:pPr>
      <w:r>
        <w:rPr>
          <w:rFonts w:cs="Arial" w:ascii="Arial" w:hAnsi="Arial"/>
          <w:sz w:val="22"/>
          <w:szCs w:val="22"/>
        </w:rPr>
        <w:t>sběrné nádoby (plastové, kovové),</w:t>
      </w:r>
    </w:p>
    <w:p>
      <w:pPr>
        <w:pStyle w:val="ListParagraph"/>
        <w:numPr>
          <w:ilvl w:val="0"/>
          <w:numId w:val="10"/>
        </w:numPr>
        <w:rPr>
          <w:rFonts w:ascii="Arial" w:hAnsi="Arial" w:cs="Arial"/>
          <w:sz w:val="22"/>
          <w:szCs w:val="22"/>
        </w:rPr>
      </w:pPr>
      <w:r>
        <w:rPr>
          <w:rFonts w:cs="Arial" w:ascii="Arial" w:hAnsi="Arial"/>
          <w:sz w:val="22"/>
          <w:szCs w:val="22"/>
        </w:rPr>
        <w:t xml:space="preserve">odpadkové koše, které jsou umístěny na veřejných prostranstvích v obci, sloužící </w:t>
        <w:br/>
        <w:t>pro odkládání drobného směsného komunálního odpadu.</w:t>
      </w:r>
    </w:p>
    <w:p>
      <w:pPr>
        <w:pStyle w:val="ListParagraph"/>
        <w:rPr>
          <w:rFonts w:ascii="Arial" w:hAnsi="Arial" w:cs="Arial"/>
          <w:sz w:val="22"/>
          <w:szCs w:val="22"/>
        </w:rPr>
      </w:pPr>
      <w:r>
        <w:rPr>
          <w:rFonts w:cs="Arial" w:ascii="Arial" w:hAnsi="Arial"/>
          <w:sz w:val="22"/>
          <w:szCs w:val="22"/>
        </w:rPr>
      </w:r>
    </w:p>
    <w:p>
      <w:pPr>
        <w:pStyle w:val="Tlotextu"/>
        <w:numPr>
          <w:ilvl w:val="0"/>
          <w:numId w:val="41"/>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uživatelú.</w:t>
      </w:r>
    </w:p>
    <w:p>
      <w:pPr>
        <w:pStyle w:val="Tlotextu"/>
        <w:numPr>
          <w:ilvl w:val="0"/>
          <w:numId w:val="42"/>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Stanovuje se povinnost obstarat si dostatečné množství sběrných nádob stanoveného typu o dostatečném objemu.</w:t>
      </w:r>
    </w:p>
    <w:p>
      <w:pPr>
        <w:pStyle w:val="Tlotextu"/>
        <w:numPr>
          <w:ilvl w:val="0"/>
          <w:numId w:val="43"/>
        </w:numPr>
        <w:tabs>
          <w:tab w:val="clear" w:pos="708"/>
          <w:tab w:val="left" w:pos="1440" w:leader="none"/>
          <w:tab w:val="left" w:pos="7020" w:leader="none"/>
        </w:tabs>
        <w:spacing w:lineRule="auto" w:line="288" w:before="171" w:after="291"/>
        <w:jc w:val="both"/>
        <w:rPr>
          <w:rFonts w:ascii="Arial" w:hAnsi="Arial" w:cs="Arial"/>
          <w:bCs/>
          <w:sz w:val="22"/>
          <w:szCs w:val="22"/>
        </w:rPr>
      </w:pPr>
      <w:r>
        <w:rPr>
          <w:rFonts w:cs="Arial" w:ascii="Arial" w:hAnsi="Arial"/>
          <w:bCs/>
          <w:sz w:val="22"/>
          <w:szCs w:val="22"/>
        </w:rPr>
        <w:t>Soustřeďování směsného komunálního odpadu podléhá požadavkům stanoveným v čl. 3 odst. 4 a 5.</w:t>
      </w:r>
    </w:p>
    <w:p>
      <w:pPr>
        <w:pStyle w:val="NoSpacing"/>
        <w:jc w:val="center"/>
        <w:rPr>
          <w:rFonts w:ascii="Arial" w:hAnsi="Arial" w:cs="Arial"/>
          <w:b/>
          <w:b/>
          <w:bCs/>
          <w:sz w:val="24"/>
          <w:szCs w:val="24"/>
        </w:rPr>
      </w:pPr>
      <w:r>
        <w:rPr>
          <w:rFonts w:cs="Arial" w:ascii="Arial" w:hAnsi="Arial"/>
          <w:b/>
          <w:bCs/>
          <w:sz w:val="24"/>
          <w:szCs w:val="24"/>
        </w:rPr>
        <w:t>Čl. 7</w:t>
      </w:r>
    </w:p>
    <w:p>
      <w:pPr>
        <w:pStyle w:val="NoSpacing"/>
        <w:jc w:val="center"/>
        <w:rPr>
          <w:rFonts w:ascii="Arial" w:hAnsi="Arial" w:cs="Arial"/>
          <w:b/>
          <w:b/>
          <w:bCs/>
          <w:sz w:val="24"/>
          <w:szCs w:val="24"/>
        </w:rPr>
      </w:pPr>
      <w:r>
        <w:rPr>
          <w:rFonts w:cs="Arial" w:ascii="Arial" w:hAnsi="Arial"/>
          <w:b/>
          <w:bCs/>
          <w:sz w:val="24"/>
          <w:szCs w:val="24"/>
        </w:rPr>
        <w:t>Nakládání s movitými věcmi v rámci předcházení vzniku odpadu</w:t>
      </w:r>
    </w:p>
    <w:p>
      <w:pPr>
        <w:pStyle w:val="Tlotextu"/>
        <w:tabs>
          <w:tab w:val="clear" w:pos="708"/>
          <w:tab w:val="left" w:pos="1440" w:leader="none"/>
          <w:tab w:val="left" w:pos="7020" w:leader="none"/>
        </w:tabs>
        <w:spacing w:lineRule="auto" w:line="288"/>
        <w:jc w:val="center"/>
        <w:rPr>
          <w:rFonts w:ascii="Arial" w:hAnsi="Arial" w:cs="Arial"/>
          <w:b/>
          <w:b/>
          <w:bCs/>
          <w:sz w:val="22"/>
          <w:szCs w:val="22"/>
          <w:u w:val="single"/>
        </w:rPr>
      </w:pPr>
      <w:r>
        <w:rPr>
          <w:rFonts w:cs="Arial" w:ascii="Arial" w:hAnsi="Arial"/>
          <w:b/>
          <w:bCs/>
          <w:sz w:val="22"/>
          <w:szCs w:val="22"/>
          <w:u w:val="single"/>
        </w:rPr>
      </w:r>
    </w:p>
    <w:p>
      <w:pPr>
        <w:pStyle w:val="Tlotextu"/>
        <w:numPr>
          <w:ilvl w:val="0"/>
          <w:numId w:val="44"/>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Obec v rámci předcházení vzniku odpadu za účelem jejich opětovného použití nakládá s těmito movitými věcmi“ oděvy a textil.</w:t>
      </w:r>
    </w:p>
    <w:p>
      <w:pPr>
        <w:pStyle w:val="Tlotextu"/>
        <w:numPr>
          <w:ilvl w:val="0"/>
          <w:numId w:val="45"/>
        </w:numPr>
        <w:tabs>
          <w:tab w:val="clear" w:pos="708"/>
          <w:tab w:val="left" w:pos="1440" w:leader="none"/>
          <w:tab w:val="left" w:pos="7020" w:leader="none"/>
        </w:tabs>
        <w:spacing w:lineRule="auto" w:line="288" w:before="114" w:after="234"/>
        <w:jc w:val="both"/>
        <w:rPr>
          <w:rFonts w:ascii="Arial" w:hAnsi="Arial" w:cs="Arial"/>
          <w:bCs/>
          <w:sz w:val="22"/>
          <w:szCs w:val="22"/>
        </w:rPr>
      </w:pPr>
      <w:r>
        <w:rPr>
          <w:rFonts w:cs="Arial" w:ascii="Arial" w:hAnsi="Arial"/>
          <w:bCs/>
          <w:sz w:val="22"/>
          <w:szCs w:val="22"/>
        </w:rPr>
        <w:t>Movité věci uvedené v odst. 1 lze předávat do označených velkoobjemových kontejnerů s nápisem „Textil“, umístěných u ČOV a čp. 249. Movitá věc musí být předána v takovém stavu, aby bylo možné její opětovné použití.</w:t>
      </w:r>
    </w:p>
    <w:p>
      <w:pPr>
        <w:pStyle w:val="NoSpacing"/>
        <w:jc w:val="center"/>
        <w:rPr>
          <w:rFonts w:ascii="Arial" w:hAnsi="Arial" w:cs="Arial"/>
          <w:b/>
          <w:b/>
          <w:bCs/>
          <w:sz w:val="24"/>
          <w:szCs w:val="24"/>
        </w:rPr>
      </w:pPr>
      <w:r>
        <w:rPr>
          <w:rFonts w:cs="Arial" w:ascii="Arial" w:hAnsi="Arial"/>
          <w:b/>
          <w:bCs/>
          <w:sz w:val="24"/>
          <w:szCs w:val="24"/>
        </w:rPr>
        <w:t>Čl. 8</w:t>
      </w:r>
    </w:p>
    <w:p>
      <w:pPr>
        <w:pStyle w:val="NoSpacing"/>
        <w:jc w:val="center"/>
        <w:rPr>
          <w:rFonts w:ascii="Arial" w:hAnsi="Arial" w:cs="Arial"/>
          <w:b/>
          <w:b/>
          <w:bCs/>
          <w:sz w:val="24"/>
          <w:szCs w:val="24"/>
        </w:rPr>
      </w:pPr>
      <w:r>
        <w:rPr>
          <w:rFonts w:cs="Arial" w:ascii="Arial" w:hAnsi="Arial"/>
          <w:b/>
          <w:bCs/>
          <w:sz w:val="24"/>
          <w:szCs w:val="24"/>
        </w:rPr>
        <w:t>Komunitní kompostování</w:t>
      </w:r>
    </w:p>
    <w:p>
      <w:pPr>
        <w:pStyle w:val="Tlotextu"/>
        <w:tabs>
          <w:tab w:val="clear" w:pos="708"/>
          <w:tab w:val="left" w:pos="1440" w:leader="none"/>
          <w:tab w:val="left" w:pos="7020" w:leader="none"/>
        </w:tabs>
        <w:spacing w:lineRule="auto" w:line="288"/>
        <w:jc w:val="center"/>
        <w:rPr>
          <w:rFonts w:ascii="Arial" w:hAnsi="Arial" w:cs="Arial"/>
          <w:b/>
          <w:b/>
          <w:bCs/>
          <w:sz w:val="22"/>
          <w:szCs w:val="22"/>
          <w:u w:val="single"/>
        </w:rPr>
      </w:pPr>
      <w:r>
        <w:rPr>
          <w:rFonts w:cs="Arial" w:ascii="Arial" w:hAnsi="Arial"/>
          <w:b/>
          <w:bCs/>
          <w:sz w:val="22"/>
          <w:szCs w:val="22"/>
          <w:u w:val="single"/>
        </w:rPr>
      </w:r>
    </w:p>
    <w:p>
      <w:pPr>
        <w:pStyle w:val="Tlotextu"/>
        <w:numPr>
          <w:ilvl w:val="0"/>
          <w:numId w:val="46"/>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Komunitní kompostování je systém soustřeďování rostlinných zbytků z údržby zeleně, zahrad a domácností z území obce, jejich úprava a následné zpracování v komunitní kompostárně na kompost</w:t>
      </w:r>
      <w:r>
        <w:rPr>
          <w:rStyle w:val="Ukotvenpoznmkypodarou"/>
          <w:rFonts w:cs="Arial" w:ascii="Arial" w:hAnsi="Arial"/>
          <w:bCs/>
          <w:sz w:val="22"/>
          <w:szCs w:val="22"/>
        </w:rPr>
        <w:footnoteReference w:id="5"/>
      </w:r>
      <w:r>
        <w:rPr>
          <w:rFonts w:cs="Arial" w:ascii="Arial" w:hAnsi="Arial"/>
          <w:bCs/>
          <w:sz w:val="22"/>
          <w:szCs w:val="22"/>
        </w:rPr>
        <w:t>.</w:t>
      </w:r>
    </w:p>
    <w:p>
      <w:pPr>
        <w:pStyle w:val="Tlotextu"/>
        <w:numPr>
          <w:ilvl w:val="0"/>
          <w:numId w:val="47"/>
        </w:numPr>
        <w:tabs>
          <w:tab w:val="clear" w:pos="708"/>
          <w:tab w:val="left" w:pos="1440" w:leader="none"/>
          <w:tab w:val="left" w:pos="7020" w:leader="none"/>
        </w:tabs>
        <w:spacing w:lineRule="auto" w:line="288"/>
        <w:jc w:val="both"/>
        <w:rPr>
          <w:rFonts w:ascii="Arial" w:hAnsi="Arial" w:cs="Arial"/>
          <w:bCs/>
          <w:sz w:val="22"/>
          <w:szCs w:val="22"/>
        </w:rPr>
      </w:pPr>
      <w:r>
        <w:rPr>
          <w:rFonts w:cs="Arial" w:ascii="Arial" w:hAnsi="Arial"/>
          <w:bCs/>
          <w:sz w:val="22"/>
          <w:szCs w:val="22"/>
        </w:rPr>
        <w:t>Rostlinné zbytky z údržby zeleně, zahrad a domácností, ovoce a zelenina ze zahrad a kuchyní, drny se zeminou, rostliny a jejich zbytky neznečištěné chemickými látkami, které budou využity v rámci komunitního kompostování, lze odkládat do modrých velkoobjemových kontejnerů přistavených na stanovištích:</w:t>
      </w:r>
    </w:p>
    <w:p>
      <w:pPr>
        <w:pStyle w:val="NoSpacing"/>
        <w:numPr>
          <w:ilvl w:val="0"/>
          <w:numId w:val="13"/>
        </w:numPr>
        <w:rPr>
          <w:rFonts w:ascii="Arial" w:hAnsi="Arial" w:cs="Arial"/>
        </w:rPr>
      </w:pPr>
      <w:r>
        <w:rPr>
          <w:rFonts w:cs="Arial" w:ascii="Arial" w:hAnsi="Arial"/>
        </w:rPr>
        <w:t>u horní otáčky autobusu</w:t>
      </w:r>
    </w:p>
    <w:p>
      <w:pPr>
        <w:pStyle w:val="NoSpacing"/>
        <w:numPr>
          <w:ilvl w:val="0"/>
          <w:numId w:val="13"/>
        </w:numPr>
        <w:rPr>
          <w:rFonts w:ascii="Arial" w:hAnsi="Arial" w:cs="Arial"/>
        </w:rPr>
      </w:pPr>
      <w:r>
        <w:rPr>
          <w:rFonts w:cs="Arial" w:ascii="Arial" w:hAnsi="Arial"/>
        </w:rPr>
        <w:t>u čp. 249</w:t>
      </w:r>
    </w:p>
    <w:p>
      <w:pPr>
        <w:pStyle w:val="NoSpacing"/>
        <w:numPr>
          <w:ilvl w:val="0"/>
          <w:numId w:val="13"/>
        </w:numPr>
        <w:rPr>
          <w:rFonts w:ascii="Arial" w:hAnsi="Arial" w:cs="Arial"/>
        </w:rPr>
      </w:pPr>
      <w:r>
        <w:rPr>
          <w:rFonts w:cs="Arial" w:ascii="Arial" w:hAnsi="Arial"/>
        </w:rPr>
        <w:t>na parkovišti u kostela</w:t>
      </w:r>
    </w:p>
    <w:p>
      <w:pPr>
        <w:pStyle w:val="NoSpacing"/>
        <w:numPr>
          <w:ilvl w:val="0"/>
          <w:numId w:val="13"/>
        </w:numPr>
        <w:rPr>
          <w:rFonts w:ascii="Arial" w:hAnsi="Arial" w:cs="Arial"/>
        </w:rPr>
      </w:pPr>
      <w:r>
        <w:rPr>
          <w:rFonts w:cs="Arial" w:ascii="Arial" w:hAnsi="Arial"/>
        </w:rPr>
        <w:t>u ČOV</w:t>
      </w:r>
    </w:p>
    <w:p>
      <w:pPr>
        <w:pStyle w:val="NoSpacing"/>
        <w:numPr>
          <w:ilvl w:val="0"/>
          <w:numId w:val="13"/>
        </w:numPr>
        <w:spacing w:before="0" w:after="0"/>
        <w:rPr>
          <w:rFonts w:ascii="Arial" w:hAnsi="Arial" w:cs="Arial"/>
        </w:rPr>
      </w:pPr>
      <w:r>
        <w:rPr>
          <w:rFonts w:cs="Arial" w:ascii="Arial" w:hAnsi="Arial"/>
        </w:rPr>
        <w:t xml:space="preserve">u dolní otáčky autobusu </w:t>
      </w:r>
    </w:p>
    <w:p>
      <w:pPr>
        <w:pStyle w:val="NoSpacing"/>
        <w:spacing w:before="114" w:after="114"/>
        <w:rPr>
          <w:rFonts w:ascii="Arial" w:hAnsi="Arial" w:cs="Arial"/>
        </w:rPr>
      </w:pPr>
      <w:r>
        <w:rPr>
          <w:rFonts w:cs="Arial" w:ascii="Arial" w:hAnsi="Arial"/>
        </w:rPr>
      </w:r>
    </w:p>
    <w:p>
      <w:pPr>
        <w:pStyle w:val="NoSpacing"/>
        <w:jc w:val="center"/>
        <w:rPr>
          <w:rFonts w:ascii="Arial" w:hAnsi="Arial" w:cs="Arial"/>
          <w:b/>
          <w:b/>
          <w:bCs/>
          <w:sz w:val="24"/>
          <w:szCs w:val="24"/>
        </w:rPr>
      </w:pPr>
      <w:r>
        <w:rPr>
          <w:rFonts w:cs="Arial" w:ascii="Arial" w:hAnsi="Arial"/>
          <w:b/>
          <w:bCs/>
          <w:sz w:val="24"/>
          <w:szCs w:val="24"/>
        </w:rPr>
        <w:t>Čl. 9</w:t>
      </w:r>
    </w:p>
    <w:p>
      <w:pPr>
        <w:pStyle w:val="NoSpacing"/>
        <w:jc w:val="center"/>
        <w:rPr>
          <w:rFonts w:ascii="Arial" w:hAnsi="Arial" w:cs="Arial"/>
          <w:b/>
          <w:b/>
          <w:bCs/>
          <w:sz w:val="24"/>
          <w:szCs w:val="24"/>
        </w:rPr>
      </w:pPr>
      <w:r>
        <w:rPr>
          <w:rFonts w:cs="Arial" w:ascii="Arial" w:hAnsi="Arial"/>
          <w:b/>
          <w:bCs/>
          <w:sz w:val="24"/>
          <w:szCs w:val="24"/>
        </w:rPr>
        <w:t>Závěrečná ustanovení</w:t>
      </w:r>
    </w:p>
    <w:p>
      <w:pPr>
        <w:pStyle w:val="NoSpacing"/>
        <w:jc w:val="center"/>
        <w:rPr>
          <w:rFonts w:ascii="Arial" w:hAnsi="Arial" w:cs="Arial"/>
          <w:b/>
          <w:b/>
          <w:bCs/>
          <w:sz w:val="24"/>
          <w:szCs w:val="24"/>
        </w:rPr>
      </w:pPr>
      <w:r>
        <w:rPr>
          <w:rFonts w:cs="Arial" w:ascii="Arial" w:hAnsi="Arial"/>
          <w:b/>
          <w:bCs/>
          <w:sz w:val="24"/>
          <w:szCs w:val="24"/>
        </w:rPr>
      </w:r>
    </w:p>
    <w:p>
      <w:pPr>
        <w:pStyle w:val="NoSpacing"/>
        <w:numPr>
          <w:ilvl w:val="0"/>
          <w:numId w:val="14"/>
        </w:numPr>
        <w:spacing w:before="120" w:after="120"/>
        <w:ind w:left="283" w:hanging="357"/>
        <w:jc w:val="both"/>
        <w:rPr>
          <w:rFonts w:ascii="Arial" w:hAnsi="Arial" w:cs="Arial"/>
        </w:rPr>
      </w:pPr>
      <w:r>
        <w:rPr>
          <w:rFonts w:cs="Arial" w:ascii="Arial" w:hAnsi="Arial"/>
        </w:rPr>
        <w:t xml:space="preserve">Ruší se obecně závazná vyhláška č. 1/2022 o stanovení obecního systému odpadového hospodářství ze dne 15.11.2022. </w:t>
      </w:r>
    </w:p>
    <w:p>
      <w:pPr>
        <w:pStyle w:val="NoSpacing"/>
        <w:numPr>
          <w:ilvl w:val="0"/>
          <w:numId w:val="14"/>
        </w:numPr>
        <w:spacing w:before="120" w:after="120"/>
        <w:ind w:left="283" w:hanging="357"/>
        <w:jc w:val="both"/>
        <w:rPr>
          <w:rFonts w:ascii="Arial" w:hAnsi="Arial" w:cs="Arial"/>
        </w:rPr>
      </w:pPr>
      <w:r>
        <w:rPr>
          <w:rFonts w:cs="Arial" w:ascii="Arial" w:hAnsi="Arial"/>
          <w:bCs/>
          <w:sz w:val="22"/>
          <w:szCs w:val="22"/>
        </w:rPr>
        <w:t>Tato vyhláška nabývá účinnosti počátkem patnáctého dne následujícího po dni jejího vyhlášení.</w:t>
      </w:r>
    </w:p>
    <w:p>
      <w:pPr>
        <w:pStyle w:val="NoSpacing"/>
        <w:rPr>
          <w:rFonts w:ascii="Arial" w:hAnsi="Arial" w:cs="Arial"/>
        </w:rPr>
      </w:pPr>
      <w:r>
        <w:rPr>
          <w:rFonts w:cs="Arial" w:ascii="Arial" w:hAnsi="Arial"/>
        </w:rPr>
      </w:r>
    </w:p>
    <w:p>
      <w:pPr>
        <w:pStyle w:val="Tlotextu"/>
        <w:tabs>
          <w:tab w:val="clear" w:pos="708"/>
          <w:tab w:val="left" w:pos="1440" w:leader="none"/>
          <w:tab w:val="left" w:pos="7020" w:leader="none"/>
        </w:tabs>
        <w:spacing w:lineRule="auto" w:line="288"/>
        <w:ind w:left="709" w:hanging="0"/>
        <w:jc w:val="both"/>
        <w:rPr>
          <w:rFonts w:ascii="Arial" w:hAnsi="Arial" w:cs="Arial"/>
          <w:bCs/>
          <w:sz w:val="22"/>
          <w:szCs w:val="22"/>
        </w:rPr>
      </w:pPr>
      <w:r>
        <w:rPr>
          <w:rFonts w:cs="Arial" w:ascii="Arial" w:hAnsi="Arial"/>
          <w:bCs/>
          <w:sz w:val="22"/>
          <w:szCs w:val="22"/>
        </w:rPr>
      </w:r>
    </w:p>
    <w:p>
      <w:pPr>
        <w:pStyle w:val="Normal"/>
        <w:tabs>
          <w:tab w:val="clear" w:pos="708"/>
          <w:tab w:val="left" w:pos="1440" w:leader="none"/>
          <w:tab w:val="left" w:pos="7020" w:leader="none"/>
        </w:tabs>
        <w:spacing w:lineRule="auto" w:line="288" w:before="120" w:after="0"/>
        <w:ind w:firstLine="709"/>
        <w:jc w:val="both"/>
        <w:rPr>
          <w:rFonts w:ascii="Arial" w:hAnsi="Arial" w:cs="Arial"/>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ab/>
        <w:t xml:space="preserve">    ...................................</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Karel Rejchrt v. r.</w:t>
        <w:tab/>
        <w:t xml:space="preserve">    Tomáš Franc v. r.</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starosta  </w:t>
        <w:tab/>
        <w:t>místostarosta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160"/>
        <w:ind w:left="708" w:firstLine="1"/>
        <w:jc w:val="both"/>
        <w:rPr>
          <w:rFonts w:ascii="Arial" w:hAnsi="Arial" w:cs="Arial"/>
        </w:rPr>
      </w:pPr>
      <w:r>
        <w:rPr>
          <w:rFonts w:cs="Arial" w:ascii="Arial" w:hAnsi="Arial"/>
        </w:rPr>
      </w:r>
    </w:p>
    <w:p>
      <w:pPr>
        <w:pStyle w:val="Normal"/>
        <w:widowControl/>
        <w:bidi w:val="0"/>
        <w:spacing w:lineRule="auto" w:line="259" w:before="0" w:after="160"/>
        <w:jc w:val="left"/>
        <w:rPr/>
      </w:pPr>
      <w:r>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t xml:space="preserve"> </w:t>
      </w:r>
      <w:r>
        <w:rPr/>
        <w:t>§ 61 zákona o odpadech</w:t>
      </w:r>
    </w:p>
  </w:footnote>
  <w:footnote w:id="3">
    <w:p>
      <w:pPr>
        <w:pStyle w:val="Poznmkapodarou"/>
        <w:rPr/>
      </w:pPr>
      <w:r>
        <w:rPr>
          <w:rStyle w:val="Znakypropoznmkupodarou"/>
        </w:rPr>
        <w:footnoteRef/>
      </w:r>
      <w:r>
        <w:rPr/>
        <w:t xml:space="preserve"> </w:t>
      </w:r>
      <w:r>
        <w:rPr/>
        <w:t>§ 60 zákona o odpadech</w:t>
      </w:r>
    </w:p>
  </w:footnote>
  <w:footnote w:id="4">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Do sběrné nádoby se odkládají v uzavřené plastové láhvi o maximálním objemu 2 litry</w:t>
      </w:r>
    </w:p>
  </w:footnote>
  <w:footnote w:id="5">
    <w:p>
      <w:pPr>
        <w:pStyle w:val="Poznmkapodarou"/>
        <w:rPr/>
      </w:pPr>
      <w:r>
        <w:rPr>
          <w:rStyle w:val="Znakypropoznmkupodarou"/>
        </w:rPr>
        <w:footnoteRef/>
      </w:r>
      <w:r>
        <w:rPr/>
        <w:t xml:space="preserve"> </w:t>
      </w:r>
      <w:r>
        <w:rPr/>
        <w:t>§ 65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decimal"/>
      <w:lvlText w:val="(%1)"/>
      <w:lvlJc w:val="left"/>
      <w:pPr>
        <w:tabs>
          <w:tab w:val="num" w:pos="360"/>
        </w:tabs>
        <w:ind w:left="360" w:hanging="360"/>
      </w:pPr>
      <w:rPr>
        <w:dstrike w:val="false"/>
        <w:strike w:val="false"/>
        <w:u w:val="none"/>
        <w:b w:val="false"/>
        <w:effect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decimal"/>
      <w:lvlText w:val="(%1)"/>
      <w:lvlJc w:val="left"/>
      <w:pPr>
        <w:tabs>
          <w:tab w:val="num" w:pos="0"/>
        </w:tabs>
        <w:ind w:left="360" w:hanging="360"/>
      </w:pPr>
      <w:rPr>
        <w:dstrike w:val="false"/>
        <w:strike w:val="false"/>
        <w:u w:val="none"/>
        <w:effect w:val="none"/>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lvl w:ilvl="0">
      <w:start w:val="1"/>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lvl w:ilvl="0">
      <w:start w:val="1"/>
      <w:numFmt w:val="decimal"/>
      <w:lvlText w:val="(%1)"/>
      <w:lvlJc w:val="left"/>
      <w:pPr>
        <w:tabs>
          <w:tab w:val="num" w:pos="360"/>
        </w:tabs>
        <w:ind w:left="360" w:hanging="360"/>
      </w:pPr>
      <w:rPr>
        <w:dstrike w:val="false"/>
        <w:strike w:val="false"/>
        <w:u w:val="none"/>
        <w:b w:val="false"/>
        <w:effect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lvl w:ilvl="0">
      <w:start w:val="1"/>
      <w:numFmt w:val="decimal"/>
      <w:lvlText w:val="(%1)"/>
      <w:lvlJc w:val="left"/>
      <w:pPr>
        <w:tabs>
          <w:tab w:val="num" w:pos="0"/>
        </w:tabs>
        <w:ind w:left="360" w:hanging="360"/>
      </w:pPr>
      <w:rPr>
        <w:dstrike w:val="false"/>
        <w:strike w:val="false"/>
        <w:u w:val="none"/>
        <w:effect w:val="none"/>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5"/>
    <w:lvlOverride w:ilvl="0">
      <w:startOverride w:val="1"/>
    </w:lvlOverride>
  </w:num>
  <w:num w:numId="25">
    <w:abstractNumId w:val="15"/>
  </w:num>
  <w:num w:numId="26">
    <w:abstractNumId w:val="15"/>
  </w:num>
  <w:num w:numId="27">
    <w:abstractNumId w:val="15"/>
  </w:num>
  <w:num w:numId="28">
    <w:abstractNumId w:val="16"/>
    <w:lvlOverride w:ilvl="0">
      <w:startOverride w:val="1"/>
    </w:lvlOverride>
  </w:num>
  <w:num w:numId="29">
    <w:abstractNumId w:val="16"/>
  </w:num>
  <w:num w:numId="30">
    <w:abstractNumId w:val="17"/>
    <w:lvlOverride w:ilvl="0">
      <w:startOverride w:val="1"/>
    </w:lvlOverride>
  </w:num>
  <w:num w:numId="31">
    <w:abstractNumId w:val="17"/>
  </w:num>
  <w:num w:numId="32">
    <w:abstractNumId w:val="17"/>
  </w:num>
  <w:num w:numId="33">
    <w:abstractNumId w:val="17"/>
  </w:num>
  <w:num w:numId="34">
    <w:abstractNumId w:val="17"/>
  </w:num>
  <w:num w:numId="35">
    <w:abstractNumId w:val="18"/>
    <w:lvlOverride w:ilvl="0">
      <w:startOverride w:val="1"/>
    </w:lvlOverride>
  </w:num>
  <w:num w:numId="36">
    <w:abstractNumId w:val="18"/>
  </w:num>
  <w:num w:numId="37">
    <w:abstractNumId w:val="19"/>
    <w:lvlOverride w:ilvl="0">
      <w:startOverride w:val="1"/>
    </w:lvlOverride>
  </w:num>
  <w:num w:numId="38">
    <w:abstractNumId w:val="19"/>
  </w:num>
  <w:num w:numId="39">
    <w:abstractNumId w:val="19"/>
  </w:num>
  <w:num w:numId="40">
    <w:abstractNumId w:val="20"/>
    <w:lvlOverride w:ilvl="0">
      <w:startOverride w:val="1"/>
    </w:lvlOverride>
  </w:num>
  <w:num w:numId="41">
    <w:abstractNumId w:val="20"/>
  </w:num>
  <w:num w:numId="42">
    <w:abstractNumId w:val="20"/>
  </w:num>
  <w:num w:numId="43">
    <w:abstractNumId w:val="20"/>
  </w:num>
  <w:num w:numId="44">
    <w:abstractNumId w:val="21"/>
    <w:lvlOverride w:ilvl="0">
      <w:startOverride w:val="1"/>
    </w:lvlOverride>
  </w:num>
  <w:num w:numId="45">
    <w:abstractNumId w:val="21"/>
  </w:num>
  <w:num w:numId="46">
    <w:abstractNumId w:val="22"/>
    <w:lvlOverride w:ilvl="0">
      <w:startOverride w:val="1"/>
    </w:lvlOverride>
  </w:num>
  <w:num w:numId="47">
    <w:abstractNumId w:val="22"/>
  </w:num>
</w:numbering>
</file>

<file path=word/settings.xml><?xml version="1.0" encoding="utf-8"?>
<w:settings xmlns:w="http://schemas.openxmlformats.org/wordprocessingml/2006/main">
  <w:zoom w:percent="99"/>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cs-CZ" w:eastAsia="en-US" w:bidi="ar-SA"/>
      <w14:ligatures w14:val="standardContextual"/>
    </w:rPr>
  </w:style>
  <w:style w:type="character" w:styleId="DefaultParagraphFont" w:default="1">
    <w:name w:val="Default Paragraph Font"/>
    <w:uiPriority w:val="1"/>
    <w:unhideWhenUsed/>
    <w:qFormat/>
    <w:rPr/>
  </w:style>
  <w:style w:type="character" w:styleId="ZkladntextChar" w:customStyle="1">
    <w:name w:val="Základní text Char"/>
    <w:basedOn w:val="DefaultParagraphFont"/>
    <w:link w:val="Zkladntext"/>
    <w:qFormat/>
    <w:rsid w:val="00ff3317"/>
    <w:rPr>
      <w:rFonts w:ascii="Times New Roman" w:hAnsi="Times New Roman" w:eastAsia="Times New Roman" w:cs="Times New Roman"/>
      <w:kern w:val="0"/>
      <w:sz w:val="24"/>
      <w:szCs w:val="24"/>
      <w:lang w:eastAsia="cs-CZ"/>
      <w14:ligatures w14:val="none"/>
    </w:rPr>
  </w:style>
  <w:style w:type="character" w:styleId="TextpoznpodarouChar" w:customStyle="1">
    <w:name w:val="Text pozn. pod čarou Char"/>
    <w:basedOn w:val="DefaultParagraphFont"/>
    <w:link w:val="Textpoznpodarou"/>
    <w:semiHidden/>
    <w:qFormat/>
    <w:rsid w:val="00ff3317"/>
    <w:rPr>
      <w:rFonts w:ascii="Times New Roman" w:hAnsi="Times New Roman" w:eastAsia="Times New Roman" w:cs="Times New Roman"/>
      <w:kern w:val="0"/>
      <w:sz w:val="20"/>
      <w:szCs w:val="20"/>
      <w:lang w:eastAsia="cs-CZ"/>
      <w14:ligatures w14:val="none"/>
    </w:rPr>
  </w:style>
  <w:style w:type="character" w:styleId="Ukotvenpoznmkypodarou">
    <w:name w:val="Ukotvení poznámky pod čarou"/>
    <w:rPr>
      <w:vertAlign w:val="superscript"/>
    </w:rPr>
  </w:style>
  <w:style w:type="character" w:styleId="FootnoteCharacters">
    <w:name w:val="Footnote Characters"/>
    <w:semiHidden/>
    <w:qFormat/>
    <w:rsid w:val="00ff3317"/>
    <w:rPr>
      <w:vertAlign w:val="superscript"/>
    </w:rPr>
  </w:style>
  <w:style w:type="character" w:styleId="Annotationreference">
    <w:name w:val="annotation reference"/>
    <w:qFormat/>
    <w:rsid w:val="00ff3317"/>
    <w:rPr>
      <w:sz w:val="16"/>
      <w:szCs w:val="16"/>
    </w:rPr>
  </w:style>
  <w:style w:type="character" w:styleId="TextkomenteChar" w:customStyle="1">
    <w:name w:val="Text komentáře Char"/>
    <w:basedOn w:val="DefaultParagraphFont"/>
    <w:link w:val="Textkomente"/>
    <w:qFormat/>
    <w:rsid w:val="00ff3317"/>
    <w:rPr>
      <w:rFonts w:ascii="Times New Roman" w:hAnsi="Times New Roman" w:eastAsia="Times New Roman" w:cs="Times New Roman"/>
      <w:kern w:val="0"/>
      <w:sz w:val="20"/>
      <w:szCs w:val="20"/>
      <w:lang w:eastAsia="cs-CZ"/>
      <w14:ligatures w14:val="none"/>
    </w:rPr>
  </w:style>
  <w:style w:type="character" w:styleId="PedmtkomenteChar" w:customStyle="1">
    <w:name w:val="Předmět komentáře Char"/>
    <w:basedOn w:val="TextkomenteChar"/>
    <w:link w:val="Pedmtkomente"/>
    <w:uiPriority w:val="99"/>
    <w:semiHidden/>
    <w:qFormat/>
    <w:rsid w:val="00c72b2f"/>
    <w:rPr>
      <w:rFonts w:ascii="Times New Roman" w:hAnsi="Times New Roman" w:eastAsia="Times New Roman" w:cs="Times New Roman"/>
      <w:b/>
      <w:bCs/>
      <w:kern w:val="0"/>
      <w:sz w:val="20"/>
      <w:szCs w:val="20"/>
      <w:lang w:eastAsia="cs-CZ"/>
      <w14:ligatures w14:val="none"/>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basedOn w:val="Normal"/>
    <w:link w:val="ZkladntextChar"/>
    <w:rsid w:val="00ff3317"/>
    <w:pPr>
      <w:spacing w:lineRule="auto" w:line="240" w:before="0" w:after="120"/>
    </w:pPr>
    <w:rPr>
      <w:rFonts w:ascii="Times New Roman" w:hAnsi="Times New Roman" w:eastAsia="Times New Roman" w:cs="Times New Roman"/>
      <w:kern w:val="0"/>
      <w:sz w:val="24"/>
      <w:szCs w:val="24"/>
      <w:lang w:eastAsia="cs-CZ"/>
      <w14:ligatures w14:val="none"/>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zxx" w:eastAsia="zxx" w:bidi="zxx"/>
    </w:rPr>
  </w:style>
  <w:style w:type="paragraph" w:styleId="Poznmkapodarou">
    <w:name w:val="Footnote Text"/>
    <w:basedOn w:val="Normal"/>
    <w:link w:val="TextpoznpodarouChar"/>
    <w:semiHidden/>
    <w:rsid w:val="00ff3317"/>
    <w:pPr>
      <w:spacing w:lineRule="auto" w:line="240" w:before="0" w:after="0"/>
    </w:pPr>
    <w:rPr>
      <w:rFonts w:ascii="Times New Roman" w:hAnsi="Times New Roman" w:eastAsia="Times New Roman" w:cs="Times New Roman"/>
      <w:kern w:val="0"/>
      <w:sz w:val="20"/>
      <w:szCs w:val="20"/>
      <w:lang w:eastAsia="cs-CZ"/>
      <w14:ligatures w14:val="none"/>
    </w:rPr>
  </w:style>
  <w:style w:type="paragraph" w:styleId="Annotationtext">
    <w:name w:val="annotation text"/>
    <w:basedOn w:val="Normal"/>
    <w:link w:val="TextkomenteChar"/>
    <w:qFormat/>
    <w:rsid w:val="00ff3317"/>
    <w:pPr>
      <w:spacing w:lineRule="auto" w:line="240" w:before="0" w:after="0"/>
    </w:pPr>
    <w:rPr>
      <w:rFonts w:ascii="Times New Roman" w:hAnsi="Times New Roman" w:eastAsia="Times New Roman" w:cs="Times New Roman"/>
      <w:kern w:val="0"/>
      <w:sz w:val="20"/>
      <w:szCs w:val="20"/>
      <w:lang w:eastAsia="cs-CZ"/>
      <w14:ligatures w14:val="none"/>
    </w:rPr>
  </w:style>
  <w:style w:type="paragraph" w:styleId="ListParagraph">
    <w:name w:val="List Paragraph"/>
    <w:basedOn w:val="Normal"/>
    <w:uiPriority w:val="34"/>
    <w:qFormat/>
    <w:rsid w:val="00ff3317"/>
    <w:pPr>
      <w:spacing w:lineRule="auto" w:line="240" w:before="0" w:after="0"/>
      <w:ind w:left="720" w:hanging="0"/>
      <w:contextualSpacing/>
    </w:pPr>
    <w:rPr>
      <w:rFonts w:ascii="Times New Roman" w:hAnsi="Times New Roman" w:eastAsia="Times New Roman" w:cs="Times New Roman"/>
      <w:kern w:val="0"/>
      <w:sz w:val="24"/>
      <w:szCs w:val="24"/>
      <w:lang w:eastAsia="cs-CZ"/>
      <w14:ligatures w14:val="none"/>
    </w:rPr>
  </w:style>
  <w:style w:type="paragraph" w:styleId="NoSpacing">
    <w:name w:val="No Spacing"/>
    <w:uiPriority w:val="1"/>
    <w:qFormat/>
    <w:rsid w:val="00ff331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cs-CZ" w:eastAsia="en-US" w:bidi="ar-SA"/>
      <w14:ligatures w14:val="standardContextual"/>
    </w:rPr>
  </w:style>
  <w:style w:type="paragraph" w:styleId="Annotationsubject">
    <w:name w:val="annotation subject"/>
    <w:basedOn w:val="Annotationtext"/>
    <w:next w:val="Annotationtext"/>
    <w:link w:val="PedmtkomenteChar"/>
    <w:uiPriority w:val="99"/>
    <w:semiHidden/>
    <w:unhideWhenUsed/>
    <w:qFormat/>
    <w:rsid w:val="00c72b2f"/>
    <w:pPr>
      <w:spacing w:before="0" w:after="160"/>
    </w:pPr>
    <w:rPr>
      <w:rFonts w:ascii="Calibri" w:hAnsi="Calibri" w:eastAsia="Calibri" w:cs="" w:asciiTheme="minorHAnsi" w:cstheme="minorBidi" w:eastAsiaTheme="minorHAnsi" w:hAnsiTheme="minorHAnsi"/>
      <w:b/>
      <w:bCs/>
      <w:kern w:val="2"/>
      <w:lang w:eastAsia="en-US"/>
      <w14:ligatures w14:val="standardContextu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519B-74A0-4D93-BCA3-9279A5A7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Application>LibreOffice/7.2.2.2$Windows_X86_64 LibreOffice_project/02b2acce88a210515b4a5bb2e46cbfb63fe97d56</Application>
  <AppVersion>15.0000</AppVersion>
  <Pages>4</Pages>
  <Words>958</Words>
  <Characters>5364</Characters>
  <CharactersWithSpaces>6217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2024-07-29T09:05:00Z</dcterms:created>
  <dc:creator>Romana Knopová</dc:creator>
  <dc:description/>
  <dc:language>cs-CZ</dc:language>
  <cp:lastModifiedBy/>
  <dcterms:modified xsi:type="dcterms:W3CDTF">2025-11-19T15:39:52Z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