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DDE290" w14:textId="77777777" w:rsidR="008F4521" w:rsidRDefault="008F4521" w:rsidP="00D93CE4">
      <w:pPr>
        <w:pStyle w:val="Pa31"/>
        <w:spacing w:after="60" w:line="221" w:lineRule="atLeast"/>
        <w:jc w:val="center"/>
      </w:pPr>
      <w:r>
        <w:rPr>
          <w:rStyle w:val="A13"/>
          <w:sz w:val="26"/>
          <w:szCs w:val="26"/>
        </w:rPr>
        <w:t xml:space="preserve">Obecně závazná vyhláška obce Vysoký Újezd č. </w:t>
      </w:r>
      <w:r w:rsidR="00145E02">
        <w:rPr>
          <w:rStyle w:val="A13"/>
          <w:sz w:val="26"/>
          <w:szCs w:val="26"/>
        </w:rPr>
        <w:t>1</w:t>
      </w:r>
      <w:r>
        <w:rPr>
          <w:rStyle w:val="A13"/>
          <w:sz w:val="26"/>
          <w:szCs w:val="26"/>
        </w:rPr>
        <w:t>/20</w:t>
      </w:r>
      <w:r w:rsidR="00F107AF">
        <w:rPr>
          <w:rStyle w:val="A13"/>
          <w:sz w:val="26"/>
          <w:szCs w:val="26"/>
        </w:rPr>
        <w:t>2</w:t>
      </w:r>
      <w:r w:rsidR="00145E02">
        <w:rPr>
          <w:rStyle w:val="A13"/>
          <w:sz w:val="26"/>
          <w:szCs w:val="26"/>
        </w:rPr>
        <w:t>1</w:t>
      </w:r>
    </w:p>
    <w:p w14:paraId="25499F75" w14:textId="77777777" w:rsidR="008F4521" w:rsidRDefault="008F4521">
      <w:pPr>
        <w:pStyle w:val="Pa50"/>
        <w:spacing w:after="100"/>
        <w:jc w:val="center"/>
      </w:pPr>
      <w:r>
        <w:rPr>
          <w:b/>
          <w:sz w:val="22"/>
        </w:rPr>
        <w:t xml:space="preserve">o místním poplatku </w:t>
      </w:r>
      <w:r w:rsidR="00A710EA" w:rsidRPr="00A710EA">
        <w:rPr>
          <w:b/>
          <w:sz w:val="22"/>
        </w:rPr>
        <w:t>za užívání veřejného prostranství</w:t>
      </w:r>
      <w:r>
        <w:rPr>
          <w:b/>
          <w:sz w:val="22"/>
        </w:rPr>
        <w:t xml:space="preserve"> </w:t>
      </w:r>
    </w:p>
    <w:p w14:paraId="1477099F" w14:textId="77777777" w:rsidR="008F4521" w:rsidRDefault="008F4521" w:rsidP="007E5FFA">
      <w:pPr>
        <w:pStyle w:val="Pa4"/>
        <w:spacing w:before="40" w:after="40" w:line="360" w:lineRule="auto"/>
        <w:ind w:left="397"/>
        <w:jc w:val="both"/>
      </w:pPr>
      <w:r>
        <w:rPr>
          <w:sz w:val="20"/>
        </w:rPr>
        <w:t xml:space="preserve">Zastupitelstvo obce Vysoký Újezd se na svém zasedání </w:t>
      </w:r>
      <w:r w:rsidR="00A50425">
        <w:rPr>
          <w:sz w:val="20"/>
        </w:rPr>
        <w:t xml:space="preserve">č. </w:t>
      </w:r>
      <w:r w:rsidR="009425F4">
        <w:rPr>
          <w:sz w:val="20"/>
        </w:rPr>
        <w:t>5</w:t>
      </w:r>
      <w:r w:rsidR="00A50425">
        <w:rPr>
          <w:sz w:val="20"/>
        </w:rPr>
        <w:t xml:space="preserve">/2021 </w:t>
      </w:r>
      <w:r>
        <w:rPr>
          <w:sz w:val="20"/>
        </w:rPr>
        <w:t xml:space="preserve">dne </w:t>
      </w:r>
      <w:r w:rsidR="009425F4">
        <w:rPr>
          <w:sz w:val="20"/>
        </w:rPr>
        <w:t xml:space="preserve">17. 8. </w:t>
      </w:r>
      <w:r>
        <w:rPr>
          <w:sz w:val="20"/>
        </w:rPr>
        <w:t>20</w:t>
      </w:r>
      <w:r w:rsidR="00F107AF">
        <w:rPr>
          <w:sz w:val="20"/>
        </w:rPr>
        <w:t>2</w:t>
      </w:r>
      <w:r w:rsidR="00C74A24">
        <w:rPr>
          <w:sz w:val="20"/>
        </w:rPr>
        <w:t>1</w:t>
      </w:r>
      <w:r>
        <w:rPr>
          <w:sz w:val="20"/>
        </w:rPr>
        <w:t xml:space="preserve"> usnesením č. </w:t>
      </w:r>
      <w:r w:rsidR="00DF57C1">
        <w:rPr>
          <w:sz w:val="20"/>
        </w:rPr>
        <w:t xml:space="preserve">3 </w:t>
      </w:r>
      <w:r>
        <w:rPr>
          <w:sz w:val="20"/>
        </w:rPr>
        <w:t>usneslo vydat na</w:t>
      </w:r>
      <w:r w:rsidR="00E01C3D">
        <w:rPr>
          <w:sz w:val="20"/>
        </w:rPr>
        <w:t> </w:t>
      </w:r>
      <w:r>
        <w:rPr>
          <w:sz w:val="20"/>
        </w:rPr>
        <w:t>základě § 14 zákona č. 565/1990 Sb., o místních poplatcích, ve znění pozdějších předpisů</w:t>
      </w:r>
      <w:r w:rsidR="007E5FFA">
        <w:rPr>
          <w:sz w:val="20"/>
        </w:rPr>
        <w:t xml:space="preserve"> </w:t>
      </w:r>
      <w:r w:rsidR="00EC7927" w:rsidRPr="00EC7927">
        <w:rPr>
          <w:sz w:val="20"/>
        </w:rPr>
        <w:t>(dále jen „zákon o</w:t>
      </w:r>
      <w:r w:rsidR="00E01C3D">
        <w:rPr>
          <w:sz w:val="20"/>
        </w:rPr>
        <w:t> </w:t>
      </w:r>
      <w:r w:rsidR="00EC7927" w:rsidRPr="00EC7927">
        <w:rPr>
          <w:sz w:val="20"/>
        </w:rPr>
        <w:t>místních poplatcích“), a v souladu s § 10 písm. d) a § 84 odst. 2 písm. h) zákona č. 128/2000 Sb., o obcích (obecní zřízení), ve znění pozdějších předpisů, tuto obecně závaznou vyhlášku (dále jen „tato vyhláška“):</w:t>
      </w:r>
      <w:r>
        <w:rPr>
          <w:sz w:val="20"/>
        </w:rPr>
        <w:t xml:space="preserve"> </w:t>
      </w:r>
    </w:p>
    <w:p w14:paraId="35B8E27E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1</w:t>
      </w:r>
    </w:p>
    <w:p w14:paraId="10D5CB6D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>Úvodní ustanovení</w:t>
      </w:r>
    </w:p>
    <w:p w14:paraId="74E9CB4B" w14:textId="77777777" w:rsidR="007E5FFA" w:rsidRPr="007E5FFA" w:rsidRDefault="008F4521" w:rsidP="007E5FFA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Obec Vysoký Újezd touto vyhláškou zavádí </w:t>
      </w:r>
      <w:r w:rsidR="00EC7927" w:rsidRPr="007E5FFA">
        <w:rPr>
          <w:sz w:val="20"/>
        </w:rPr>
        <w:t xml:space="preserve">místní poplatek </w:t>
      </w:r>
      <w:r w:rsidR="00A710EA" w:rsidRPr="00A710EA">
        <w:rPr>
          <w:sz w:val="20"/>
        </w:rPr>
        <w:t>za užívání veřejného prostranství</w:t>
      </w:r>
      <w:r w:rsidR="00A710EA" w:rsidRPr="007E5FFA">
        <w:rPr>
          <w:sz w:val="20"/>
        </w:rPr>
        <w:t xml:space="preserve"> </w:t>
      </w:r>
      <w:r w:rsidR="00EC7927" w:rsidRPr="007E5FFA">
        <w:rPr>
          <w:sz w:val="20"/>
        </w:rPr>
        <w:t>(dále jen „poplatek“).</w:t>
      </w:r>
    </w:p>
    <w:p w14:paraId="4828ED03" w14:textId="77777777" w:rsidR="008F4521" w:rsidRPr="00D93CE4" w:rsidRDefault="00EC7927" w:rsidP="00D93CE4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rFonts w:hint="eastAsia"/>
          <w:sz w:val="20"/>
        </w:rPr>
      </w:pPr>
      <w:r w:rsidRPr="007E5FFA">
        <w:rPr>
          <w:sz w:val="20"/>
        </w:rPr>
        <w:t>Správcem poplatku je obecní úřad.</w:t>
      </w:r>
      <w:r w:rsidRPr="007E5FFA">
        <w:rPr>
          <w:rFonts w:hint="eastAsia"/>
          <w:vertAlign w:val="superscript"/>
        </w:rPr>
        <w:footnoteReference w:id="1"/>
      </w:r>
    </w:p>
    <w:p w14:paraId="6519742A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2</w:t>
      </w:r>
    </w:p>
    <w:p w14:paraId="1C8A5490" w14:textId="77777777" w:rsidR="008F4521" w:rsidRPr="00EC7927" w:rsidRDefault="00EC7927">
      <w:pPr>
        <w:pStyle w:val="Pa38"/>
        <w:spacing w:before="20" w:after="40"/>
        <w:jc w:val="center"/>
        <w:rPr>
          <w:b/>
          <w:sz w:val="20"/>
        </w:rPr>
      </w:pPr>
      <w:r w:rsidRPr="00EC7927">
        <w:rPr>
          <w:b/>
          <w:sz w:val="20"/>
        </w:rPr>
        <w:t>Předmět, poplatník a plátce poplatku</w:t>
      </w:r>
    </w:p>
    <w:p w14:paraId="01DAE1F9" w14:textId="77777777" w:rsidR="00A710EA" w:rsidRDefault="00A710EA" w:rsidP="00A710EA">
      <w:pPr>
        <w:pStyle w:val="Default"/>
        <w:numPr>
          <w:ilvl w:val="0"/>
          <w:numId w:val="20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</w:t>
      </w:r>
      <w:r w:rsidRPr="00A70B69">
        <w:rPr>
          <w:sz w:val="20"/>
        </w:rPr>
        <w:t>prostranství pro reklamní</w:t>
      </w:r>
      <w:r w:rsidRPr="00A710EA">
        <w:rPr>
          <w:sz w:val="20"/>
        </w:rPr>
        <w:t xml:space="preserve"> akce nebo potřeby tvorby filmových a televizních děl.</w:t>
      </w:r>
      <w:r w:rsidRPr="00A710EA">
        <w:rPr>
          <w:sz w:val="20"/>
          <w:vertAlign w:val="superscript"/>
        </w:rPr>
        <w:footnoteReference w:id="2"/>
      </w:r>
    </w:p>
    <w:p w14:paraId="451BAFC6" w14:textId="77777777" w:rsidR="008F4521" w:rsidRPr="00A710EA" w:rsidRDefault="00A710EA" w:rsidP="00A710EA">
      <w:pPr>
        <w:pStyle w:val="Default"/>
        <w:numPr>
          <w:ilvl w:val="0"/>
          <w:numId w:val="20"/>
        </w:numPr>
        <w:spacing w:line="360" w:lineRule="auto"/>
        <w:ind w:left="714" w:hanging="357"/>
        <w:jc w:val="both"/>
        <w:rPr>
          <w:rFonts w:hint="eastAsia"/>
        </w:rPr>
      </w:pPr>
      <w:r w:rsidRPr="00A710EA">
        <w:rPr>
          <w:sz w:val="20"/>
        </w:rPr>
        <w:t>Poplatek za užívání veřejného prostranství platí fyzické i právnické osoby, které užívají veřejné prostranství způsobem uvedeným v odstavci 1 (dále jen „poplatník“).</w:t>
      </w:r>
      <w:r w:rsidRPr="00A710EA">
        <w:rPr>
          <w:sz w:val="20"/>
          <w:vertAlign w:val="superscript"/>
        </w:rPr>
        <w:footnoteReference w:id="3"/>
      </w:r>
    </w:p>
    <w:p w14:paraId="5233201D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3</w:t>
      </w:r>
    </w:p>
    <w:p w14:paraId="0E63D992" w14:textId="77777777" w:rsidR="008F4521" w:rsidRPr="00A710EA" w:rsidRDefault="00A710EA">
      <w:pPr>
        <w:pStyle w:val="Pa38"/>
        <w:spacing w:before="20" w:after="40"/>
        <w:jc w:val="center"/>
        <w:rPr>
          <w:b/>
          <w:sz w:val="20"/>
        </w:rPr>
      </w:pPr>
      <w:r w:rsidRPr="00A710EA">
        <w:rPr>
          <w:b/>
          <w:sz w:val="20"/>
        </w:rPr>
        <w:t>Veřejná prostranství</w:t>
      </w:r>
    </w:p>
    <w:p w14:paraId="279E7222" w14:textId="77777777" w:rsidR="009C1498" w:rsidRPr="00EC50AE" w:rsidRDefault="00A710EA" w:rsidP="00EC50AE">
      <w:pPr>
        <w:pStyle w:val="Defaul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C50AE">
        <w:rPr>
          <w:rFonts w:ascii="Times New Roman" w:hAnsi="Times New Roman" w:cs="Times New Roman"/>
          <w:sz w:val="20"/>
        </w:rPr>
        <w:t xml:space="preserve">Poplatek se platí za užívání veřejných prostranství, která jsou uvedena jmenovitě v příloze č. 1. </w:t>
      </w:r>
      <w:r w:rsidR="001844D2" w:rsidRPr="00EC50AE">
        <w:rPr>
          <w:rFonts w:ascii="Times New Roman" w:hAnsi="Times New Roman" w:cs="Times New Roman"/>
          <w:sz w:val="20"/>
        </w:rPr>
        <w:t>T</w:t>
      </w:r>
      <w:r w:rsidR="00A50425">
        <w:rPr>
          <w:rFonts w:ascii="Times New Roman" w:hAnsi="Times New Roman" w:cs="Times New Roman"/>
          <w:sz w:val="20"/>
        </w:rPr>
        <w:t>a</w:t>
      </w:r>
      <w:r w:rsidR="001844D2" w:rsidRPr="00EC50AE">
        <w:rPr>
          <w:rFonts w:ascii="Times New Roman" w:hAnsi="Times New Roman" w:cs="Times New Roman"/>
          <w:sz w:val="20"/>
        </w:rPr>
        <w:t xml:space="preserve">to </w:t>
      </w:r>
      <w:r w:rsidRPr="00EC50AE">
        <w:rPr>
          <w:rFonts w:ascii="Times New Roman" w:hAnsi="Times New Roman" w:cs="Times New Roman"/>
          <w:sz w:val="20"/>
        </w:rPr>
        <w:t>příloh</w:t>
      </w:r>
      <w:r w:rsidR="00A50425">
        <w:rPr>
          <w:rFonts w:ascii="Times New Roman" w:hAnsi="Times New Roman" w:cs="Times New Roman"/>
          <w:sz w:val="20"/>
        </w:rPr>
        <w:t>a</w:t>
      </w:r>
      <w:r w:rsidRPr="00EC50AE">
        <w:rPr>
          <w:rFonts w:ascii="Times New Roman" w:hAnsi="Times New Roman" w:cs="Times New Roman"/>
          <w:sz w:val="20"/>
        </w:rPr>
        <w:t xml:space="preserve"> tvoří nedílnou součást této vyhlášky.</w:t>
      </w:r>
    </w:p>
    <w:p w14:paraId="048D4FC2" w14:textId="77777777" w:rsidR="009C1498" w:rsidRPr="00D331A5" w:rsidRDefault="009C1498" w:rsidP="009C1498">
      <w:pPr>
        <w:pStyle w:val="Defaul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C50AE">
        <w:rPr>
          <w:rFonts w:ascii="Times New Roman" w:hAnsi="Times New Roman" w:cs="Times New Roman"/>
          <w:sz w:val="20"/>
        </w:rPr>
        <w:t>Pro účely stanovení rozdílné sazby poplatku podle místa zvláštního užívání veřejnéh</w:t>
      </w:r>
      <w:r w:rsidRPr="00773A80">
        <w:rPr>
          <w:rFonts w:ascii="Times New Roman" w:hAnsi="Times New Roman" w:cs="Times New Roman"/>
          <w:sz w:val="20"/>
        </w:rPr>
        <w:t>o prostranství způsobem uvedeným v </w:t>
      </w:r>
      <w:r w:rsidRPr="00D331A5">
        <w:rPr>
          <w:rFonts w:ascii="Times New Roman" w:hAnsi="Times New Roman" w:cs="Times New Roman"/>
          <w:sz w:val="20"/>
        </w:rPr>
        <w:t xml:space="preserve">čl. </w:t>
      </w:r>
      <w:r w:rsidR="000953B7" w:rsidRPr="00D331A5">
        <w:rPr>
          <w:rFonts w:ascii="Times New Roman" w:hAnsi="Times New Roman" w:cs="Times New Roman"/>
          <w:sz w:val="20"/>
        </w:rPr>
        <w:t>5</w:t>
      </w:r>
      <w:r w:rsidRPr="00D331A5">
        <w:rPr>
          <w:rFonts w:ascii="Times New Roman" w:hAnsi="Times New Roman" w:cs="Times New Roman"/>
          <w:sz w:val="20"/>
        </w:rPr>
        <w:t xml:space="preserve"> písm.</w:t>
      </w:r>
      <w:r w:rsidR="00EC50AE" w:rsidRPr="00D331A5">
        <w:rPr>
          <w:rFonts w:ascii="Times New Roman" w:hAnsi="Times New Roman" w:cs="Times New Roman"/>
          <w:sz w:val="20"/>
        </w:rPr>
        <w:t xml:space="preserve"> </w:t>
      </w:r>
      <w:r w:rsidR="00D331A5" w:rsidRPr="00D331A5">
        <w:rPr>
          <w:rFonts w:ascii="Times New Roman" w:hAnsi="Times New Roman" w:cs="Times New Roman"/>
          <w:sz w:val="20"/>
        </w:rPr>
        <w:t>f</w:t>
      </w:r>
      <w:r w:rsidRPr="00D331A5">
        <w:rPr>
          <w:rFonts w:ascii="Times New Roman" w:hAnsi="Times New Roman" w:cs="Times New Roman"/>
          <w:sz w:val="20"/>
        </w:rPr>
        <w:t xml:space="preserve">) až </w:t>
      </w:r>
      <w:r w:rsidR="00D331A5" w:rsidRPr="00D331A5">
        <w:rPr>
          <w:rFonts w:ascii="Times New Roman" w:hAnsi="Times New Roman" w:cs="Times New Roman"/>
          <w:sz w:val="20"/>
        </w:rPr>
        <w:t>i</w:t>
      </w:r>
      <w:r w:rsidRPr="00D331A5">
        <w:rPr>
          <w:rFonts w:ascii="Times New Roman" w:hAnsi="Times New Roman" w:cs="Times New Roman"/>
          <w:sz w:val="20"/>
        </w:rPr>
        <w:t>) této</w:t>
      </w:r>
      <w:r w:rsidRPr="00EC50AE">
        <w:rPr>
          <w:rFonts w:ascii="Times New Roman" w:hAnsi="Times New Roman" w:cs="Times New Roman"/>
          <w:sz w:val="20"/>
        </w:rPr>
        <w:t xml:space="preserve"> vyhlášky se oblast obce </w:t>
      </w:r>
      <w:r w:rsidRPr="00D331A5">
        <w:rPr>
          <w:rFonts w:ascii="Times New Roman" w:hAnsi="Times New Roman" w:cs="Times New Roman"/>
          <w:sz w:val="20"/>
        </w:rPr>
        <w:t>Vysoký Újezd člení na následující oblasti:</w:t>
      </w:r>
    </w:p>
    <w:p w14:paraId="3C396AF1" w14:textId="77777777" w:rsidR="009C1498" w:rsidRPr="00D331A5" w:rsidRDefault="000953B7" w:rsidP="009C1498">
      <w:pPr>
        <w:pStyle w:val="Default"/>
        <w:numPr>
          <w:ilvl w:val="1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D331A5">
        <w:rPr>
          <w:rFonts w:ascii="Times New Roman" w:hAnsi="Times New Roman" w:cs="Times New Roman"/>
          <w:sz w:val="20"/>
        </w:rPr>
        <w:t xml:space="preserve">Oblast </w:t>
      </w:r>
      <w:r w:rsidR="009425F4">
        <w:rPr>
          <w:rFonts w:ascii="Times New Roman" w:hAnsi="Times New Roman" w:cs="Times New Roman"/>
          <w:sz w:val="20"/>
        </w:rPr>
        <w:t>CENTRUM</w:t>
      </w:r>
      <w:r w:rsidR="009425F4" w:rsidRPr="00D331A5">
        <w:rPr>
          <w:rFonts w:ascii="Times New Roman" w:hAnsi="Times New Roman" w:cs="Times New Roman"/>
          <w:sz w:val="20"/>
        </w:rPr>
        <w:t xml:space="preserve"> – nové</w:t>
      </w:r>
      <w:r w:rsidR="009C1498" w:rsidRPr="00D331A5">
        <w:rPr>
          <w:rFonts w:ascii="Times New Roman" w:hAnsi="Times New Roman" w:cs="Times New Roman"/>
          <w:sz w:val="20"/>
        </w:rPr>
        <w:t xml:space="preserve"> centrum obce Vysoký Újezd </w:t>
      </w:r>
      <w:r w:rsidR="00D331A5" w:rsidRPr="00D331A5">
        <w:rPr>
          <w:rFonts w:ascii="Times New Roman" w:hAnsi="Times New Roman" w:cs="Times New Roman"/>
          <w:sz w:val="20"/>
        </w:rPr>
        <w:t xml:space="preserve">vymezené ulicemi </w:t>
      </w:r>
      <w:r w:rsidR="002819AA" w:rsidRPr="00D331A5">
        <w:rPr>
          <w:rFonts w:ascii="Times New Roman" w:hAnsi="Times New Roman" w:cs="Times New Roman"/>
          <w:sz w:val="20"/>
        </w:rPr>
        <w:t>U Kamene</w:t>
      </w:r>
      <w:r w:rsidR="009C1498" w:rsidRPr="00D331A5">
        <w:rPr>
          <w:rFonts w:ascii="Times New Roman" w:hAnsi="Times New Roman" w:cs="Times New Roman"/>
          <w:sz w:val="20"/>
        </w:rPr>
        <w:t>,</w:t>
      </w:r>
      <w:r w:rsidR="002819AA" w:rsidRPr="00D331A5">
        <w:rPr>
          <w:rFonts w:ascii="Times New Roman" w:hAnsi="Times New Roman" w:cs="Times New Roman"/>
          <w:sz w:val="20"/>
        </w:rPr>
        <w:t xml:space="preserve"> Ke Hřišti, Tyršova náves, Zámecká </w:t>
      </w:r>
      <w:r w:rsidR="00D331A5" w:rsidRPr="00D331A5">
        <w:rPr>
          <w:rFonts w:ascii="Times New Roman" w:hAnsi="Times New Roman" w:cs="Times New Roman"/>
          <w:sz w:val="20"/>
        </w:rPr>
        <w:t xml:space="preserve">a </w:t>
      </w:r>
      <w:r w:rsidR="002819AA" w:rsidRPr="00D331A5">
        <w:rPr>
          <w:rFonts w:ascii="Times New Roman" w:hAnsi="Times New Roman" w:cs="Times New Roman"/>
          <w:sz w:val="20"/>
        </w:rPr>
        <w:t>objekt</w:t>
      </w:r>
      <w:r w:rsidR="00D331A5" w:rsidRPr="00D331A5">
        <w:rPr>
          <w:rFonts w:ascii="Times New Roman" w:hAnsi="Times New Roman" w:cs="Times New Roman"/>
          <w:sz w:val="20"/>
        </w:rPr>
        <w:t>em</w:t>
      </w:r>
      <w:r w:rsidR="002819AA" w:rsidRPr="00D331A5">
        <w:rPr>
          <w:rFonts w:ascii="Times New Roman" w:hAnsi="Times New Roman" w:cs="Times New Roman"/>
          <w:sz w:val="20"/>
        </w:rPr>
        <w:t xml:space="preserve"> zámku a zámeck</w:t>
      </w:r>
      <w:r w:rsidR="00D331A5" w:rsidRPr="00D331A5">
        <w:rPr>
          <w:rFonts w:ascii="Times New Roman" w:hAnsi="Times New Roman" w:cs="Times New Roman"/>
          <w:sz w:val="20"/>
        </w:rPr>
        <w:t>ou</w:t>
      </w:r>
      <w:r w:rsidR="002819AA" w:rsidRPr="00D331A5">
        <w:rPr>
          <w:rFonts w:ascii="Times New Roman" w:hAnsi="Times New Roman" w:cs="Times New Roman"/>
          <w:sz w:val="20"/>
        </w:rPr>
        <w:t xml:space="preserve"> zahrad</w:t>
      </w:r>
      <w:r w:rsidR="00D331A5" w:rsidRPr="00D331A5">
        <w:rPr>
          <w:rFonts w:ascii="Times New Roman" w:hAnsi="Times New Roman" w:cs="Times New Roman"/>
          <w:sz w:val="20"/>
        </w:rPr>
        <w:t>ou</w:t>
      </w:r>
      <w:r w:rsidR="00F343C3">
        <w:rPr>
          <w:rFonts w:ascii="Times New Roman" w:hAnsi="Times New Roman" w:cs="Times New Roman"/>
          <w:sz w:val="20"/>
        </w:rPr>
        <w:t xml:space="preserve"> v rozsahu dle odst.1 tohoto článku.</w:t>
      </w:r>
    </w:p>
    <w:p w14:paraId="01C87280" w14:textId="77777777" w:rsidR="00D331A5" w:rsidRPr="009425F4" w:rsidRDefault="000953B7" w:rsidP="009425F4">
      <w:pPr>
        <w:pStyle w:val="Default"/>
        <w:numPr>
          <w:ilvl w:val="1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C50AE">
        <w:rPr>
          <w:rFonts w:ascii="Times New Roman" w:hAnsi="Times New Roman" w:cs="Times New Roman"/>
          <w:sz w:val="20"/>
        </w:rPr>
        <w:t xml:space="preserve">Oblast </w:t>
      </w:r>
      <w:r w:rsidR="005F0017">
        <w:rPr>
          <w:rFonts w:ascii="Times New Roman" w:hAnsi="Times New Roman" w:cs="Times New Roman"/>
          <w:sz w:val="20"/>
        </w:rPr>
        <w:t>OSTATNÍ</w:t>
      </w:r>
      <w:r w:rsidRPr="00EC50AE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- </w:t>
      </w:r>
      <w:r w:rsidR="009C1498" w:rsidRPr="00EC50AE">
        <w:rPr>
          <w:rFonts w:ascii="Times New Roman" w:hAnsi="Times New Roman" w:cs="Times New Roman"/>
          <w:sz w:val="20"/>
        </w:rPr>
        <w:t>zbyl</w:t>
      </w:r>
      <w:r w:rsidR="00F343C3">
        <w:rPr>
          <w:rFonts w:ascii="Times New Roman" w:hAnsi="Times New Roman" w:cs="Times New Roman"/>
          <w:sz w:val="20"/>
        </w:rPr>
        <w:t>á</w:t>
      </w:r>
      <w:r w:rsidR="009C1498" w:rsidRPr="00EC50AE">
        <w:rPr>
          <w:rFonts w:ascii="Times New Roman" w:hAnsi="Times New Roman" w:cs="Times New Roman"/>
          <w:sz w:val="20"/>
        </w:rPr>
        <w:t xml:space="preserve"> </w:t>
      </w:r>
      <w:r w:rsidR="00F343C3">
        <w:rPr>
          <w:rFonts w:ascii="Times New Roman" w:hAnsi="Times New Roman" w:cs="Times New Roman"/>
          <w:sz w:val="20"/>
        </w:rPr>
        <w:t>veřejná prostranství</w:t>
      </w:r>
      <w:r w:rsidR="009C1498" w:rsidRPr="00EC50AE">
        <w:rPr>
          <w:rFonts w:ascii="Times New Roman" w:hAnsi="Times New Roman" w:cs="Times New Roman"/>
          <w:sz w:val="20"/>
        </w:rPr>
        <w:t xml:space="preserve"> obce Vysoký Újezd, </w:t>
      </w:r>
      <w:r w:rsidR="00EC50AE">
        <w:rPr>
          <w:rFonts w:ascii="Times New Roman" w:hAnsi="Times New Roman" w:cs="Times New Roman"/>
          <w:sz w:val="20"/>
        </w:rPr>
        <w:t xml:space="preserve">místní </w:t>
      </w:r>
      <w:r w:rsidR="009C1498" w:rsidRPr="00EC50AE">
        <w:rPr>
          <w:rFonts w:ascii="Times New Roman" w:hAnsi="Times New Roman" w:cs="Times New Roman"/>
          <w:sz w:val="20"/>
        </w:rPr>
        <w:t xml:space="preserve">část Kozolupy a </w:t>
      </w:r>
      <w:r w:rsidR="00EC50AE">
        <w:rPr>
          <w:rFonts w:ascii="Times New Roman" w:hAnsi="Times New Roman" w:cs="Times New Roman"/>
          <w:sz w:val="20"/>
        </w:rPr>
        <w:t xml:space="preserve">místní </w:t>
      </w:r>
      <w:r w:rsidR="00EC50AE" w:rsidRPr="00EC50AE">
        <w:rPr>
          <w:rFonts w:ascii="Times New Roman" w:hAnsi="Times New Roman" w:cs="Times New Roman"/>
          <w:sz w:val="20"/>
        </w:rPr>
        <w:t xml:space="preserve">část </w:t>
      </w:r>
      <w:r w:rsidR="009C1498" w:rsidRPr="00EC50AE">
        <w:rPr>
          <w:rFonts w:ascii="Times New Roman" w:hAnsi="Times New Roman" w:cs="Times New Roman"/>
          <w:sz w:val="20"/>
        </w:rPr>
        <w:t>Kuchař</w:t>
      </w:r>
      <w:r w:rsidR="00F343C3">
        <w:rPr>
          <w:rFonts w:ascii="Times New Roman" w:hAnsi="Times New Roman" w:cs="Times New Roman"/>
          <w:sz w:val="20"/>
        </w:rPr>
        <w:t xml:space="preserve"> v rozsahu dle odst.1 tohoto článku</w:t>
      </w:r>
      <w:r w:rsidR="009C1498" w:rsidRPr="00EC50AE">
        <w:rPr>
          <w:rFonts w:ascii="Times New Roman" w:hAnsi="Times New Roman" w:cs="Times New Roman"/>
          <w:sz w:val="20"/>
        </w:rPr>
        <w:t>.</w:t>
      </w:r>
    </w:p>
    <w:p w14:paraId="01DD4EE7" w14:textId="77777777" w:rsidR="008F4521" w:rsidRDefault="008F4521" w:rsidP="007E5FFA">
      <w:pPr>
        <w:pStyle w:val="Default"/>
        <w:spacing w:line="1" w:lineRule="atLeast"/>
        <w:jc w:val="center"/>
      </w:pPr>
      <w:r>
        <w:rPr>
          <w:b/>
          <w:sz w:val="20"/>
        </w:rPr>
        <w:t>Čl. 4</w:t>
      </w:r>
    </w:p>
    <w:p w14:paraId="2228A274" w14:textId="77777777" w:rsidR="007E5FFA" w:rsidRPr="007E5FFA" w:rsidRDefault="00A710EA" w:rsidP="007E5FFA">
      <w:pPr>
        <w:pStyle w:val="Default"/>
        <w:spacing w:line="1" w:lineRule="atLeast"/>
        <w:jc w:val="center"/>
        <w:rPr>
          <w:b/>
          <w:sz w:val="20"/>
        </w:rPr>
      </w:pPr>
      <w:r w:rsidRPr="00A710EA">
        <w:rPr>
          <w:b/>
          <w:sz w:val="20"/>
        </w:rPr>
        <w:t>Ohlašovací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7E5FFA" w:rsidRPr="007E5FFA">
        <w:rPr>
          <w:b/>
          <w:sz w:val="20"/>
        </w:rPr>
        <w:t>povinnost</w:t>
      </w:r>
    </w:p>
    <w:p w14:paraId="0BECFEE7" w14:textId="77777777" w:rsidR="00A710EA" w:rsidRPr="00A710EA" w:rsidRDefault="00A710EA" w:rsidP="00A710EA">
      <w:pPr>
        <w:pStyle w:val="Default"/>
        <w:numPr>
          <w:ilvl w:val="0"/>
          <w:numId w:val="24"/>
        </w:numPr>
        <w:spacing w:line="360" w:lineRule="auto"/>
        <w:jc w:val="both"/>
      </w:pPr>
      <w:r w:rsidRPr="00A710EA">
        <w:rPr>
          <w:sz w:val="20"/>
        </w:rPr>
        <w:t xml:space="preserve">Poplatník je povinen ohlásit zvláštní užívání veřejného prostranství správci </w:t>
      </w:r>
      <w:r w:rsidRPr="005E001C">
        <w:rPr>
          <w:sz w:val="20"/>
        </w:rPr>
        <w:t xml:space="preserve">poplatku nejpozději 5 dní před zahájením užívání veřejného prostranství. V případě užívání veřejného prostranství po dobu kratší než 5 dní, je </w:t>
      </w:r>
      <w:r w:rsidRPr="005E001C">
        <w:rPr>
          <w:sz w:val="20"/>
        </w:rPr>
        <w:lastRenderedPageBreak/>
        <w:t>povinen splnit ohlašovací povinnost nejpozději v den zahájení užívání veřejného prostranství.</w:t>
      </w:r>
      <w:r w:rsidRPr="00A710EA">
        <w:rPr>
          <w:sz w:val="20"/>
        </w:rPr>
        <w:t xml:space="preserve"> Pokud tento den připadne na sobotu, neděli nebo státem uznaný svátek, je poplatník povinen splnit ohlašovací povinnost nejblíže následující pracovní den.</w:t>
      </w:r>
    </w:p>
    <w:p w14:paraId="1DFB89AF" w14:textId="77777777" w:rsidR="00A710EA" w:rsidRPr="00A710EA" w:rsidRDefault="00A710EA" w:rsidP="00A710EA">
      <w:pPr>
        <w:pStyle w:val="Default"/>
        <w:numPr>
          <w:ilvl w:val="0"/>
          <w:numId w:val="24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>V ohlášení poplatník uvede</w:t>
      </w:r>
      <w:r w:rsidRPr="00A710EA">
        <w:rPr>
          <w:sz w:val="20"/>
          <w:vertAlign w:val="superscript"/>
        </w:rPr>
        <w:footnoteReference w:id="4"/>
      </w:r>
    </w:p>
    <w:p w14:paraId="55DDC707" w14:textId="77777777" w:rsidR="00A710EA" w:rsidRPr="00A710EA" w:rsidRDefault="00A710EA" w:rsidP="00A710EA">
      <w:pPr>
        <w:pStyle w:val="Default"/>
        <w:numPr>
          <w:ilvl w:val="1"/>
          <w:numId w:val="24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8294A2F" w14:textId="77777777" w:rsidR="00A710EA" w:rsidRPr="00A710EA" w:rsidRDefault="00A710EA" w:rsidP="00A710EA">
      <w:pPr>
        <w:pStyle w:val="Default"/>
        <w:numPr>
          <w:ilvl w:val="1"/>
          <w:numId w:val="24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>čísla všech svých účtů u poskytovatelů platebních služeb, včetně poskytovatelů těchto služeb v</w:t>
      </w:r>
      <w:r w:rsidR="002E29C1">
        <w:rPr>
          <w:sz w:val="20"/>
        </w:rPr>
        <w:t> </w:t>
      </w:r>
      <w:r w:rsidRPr="00A710EA">
        <w:rPr>
          <w:sz w:val="20"/>
        </w:rPr>
        <w:t>zahraničí, užívaných v souvislosti s podnikatelskou činností, v případě, že předmět poplatku souvisí s podnikatelskou činností poplatníka,</w:t>
      </w:r>
    </w:p>
    <w:p w14:paraId="230FC378" w14:textId="77777777" w:rsidR="00A710EA" w:rsidRPr="00A710EA" w:rsidRDefault="00A710EA" w:rsidP="00A710EA">
      <w:pPr>
        <w:pStyle w:val="Default"/>
        <w:numPr>
          <w:ilvl w:val="1"/>
          <w:numId w:val="24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 xml:space="preserve">další údaje rozhodné pro stanovení poplatku, zejména předpokládanou dobu, způsob, místo a výměru užívání veřejného prostranství, včetně skutečností dokládajících vznik nároku na </w:t>
      </w:r>
      <w:r w:rsidR="00D72ACC">
        <w:rPr>
          <w:sz w:val="20"/>
        </w:rPr>
        <w:t xml:space="preserve">případné </w:t>
      </w:r>
      <w:r w:rsidRPr="00A710EA">
        <w:rPr>
          <w:sz w:val="20"/>
        </w:rPr>
        <w:t>osvobození od poplatku.</w:t>
      </w:r>
    </w:p>
    <w:p w14:paraId="2ECA96A1" w14:textId="77777777" w:rsidR="00A710EA" w:rsidRPr="00A710EA" w:rsidRDefault="00A710EA" w:rsidP="00A710EA">
      <w:pPr>
        <w:pStyle w:val="Default"/>
        <w:numPr>
          <w:ilvl w:val="0"/>
          <w:numId w:val="24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710EA">
        <w:rPr>
          <w:sz w:val="20"/>
          <w:vertAlign w:val="superscript"/>
        </w:rPr>
        <w:footnoteReference w:id="5"/>
      </w:r>
    </w:p>
    <w:p w14:paraId="2D0175A2" w14:textId="77777777" w:rsidR="001844D2" w:rsidRPr="00A710EA" w:rsidRDefault="00A710EA" w:rsidP="00A710EA">
      <w:pPr>
        <w:pStyle w:val="Default"/>
        <w:numPr>
          <w:ilvl w:val="0"/>
          <w:numId w:val="24"/>
        </w:numPr>
        <w:spacing w:line="360" w:lineRule="auto"/>
        <w:jc w:val="both"/>
        <w:rPr>
          <w:sz w:val="20"/>
        </w:rPr>
      </w:pPr>
      <w:r w:rsidRPr="00A710EA">
        <w:rPr>
          <w:sz w:val="20"/>
        </w:rPr>
        <w:t xml:space="preserve">Dojde-li ke změně údajů uvedených v ohlášení, je poplatník povinen tuto </w:t>
      </w:r>
      <w:r w:rsidRPr="005E001C">
        <w:rPr>
          <w:sz w:val="20"/>
        </w:rPr>
        <w:t>změnu oznámit do 15 dnů ode</w:t>
      </w:r>
      <w:r w:rsidRPr="00A710EA">
        <w:rPr>
          <w:sz w:val="20"/>
        </w:rPr>
        <w:t xml:space="preserve"> dne, kdy nastala.</w:t>
      </w:r>
      <w:r w:rsidRPr="00A710EA">
        <w:rPr>
          <w:sz w:val="20"/>
          <w:vertAlign w:val="superscript"/>
        </w:rPr>
        <w:footnoteReference w:id="6"/>
      </w:r>
    </w:p>
    <w:p w14:paraId="2C0A84D8" w14:textId="77777777" w:rsidR="008F4521" w:rsidRPr="001844D2" w:rsidRDefault="001844D2" w:rsidP="001844D2">
      <w:pPr>
        <w:pStyle w:val="Default"/>
        <w:numPr>
          <w:ilvl w:val="0"/>
          <w:numId w:val="24"/>
        </w:numPr>
        <w:spacing w:line="360" w:lineRule="auto"/>
        <w:jc w:val="both"/>
        <w:rPr>
          <w:sz w:val="20"/>
        </w:rPr>
      </w:pPr>
      <w:r w:rsidRPr="001844D2">
        <w:rPr>
          <w:sz w:val="20"/>
        </w:rPr>
        <w:t xml:space="preserve">Povinnost ohlásit údaj podle odst. 2 </w:t>
      </w:r>
      <w:r w:rsidR="00C02464">
        <w:rPr>
          <w:sz w:val="20"/>
        </w:rPr>
        <w:t xml:space="preserve">a 3 </w:t>
      </w:r>
      <w:r w:rsidRPr="001844D2">
        <w:rPr>
          <w:sz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A9726C4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5</w:t>
      </w:r>
    </w:p>
    <w:p w14:paraId="03B6EDF2" w14:textId="77777777" w:rsidR="007E5FFA" w:rsidRPr="007E5FFA" w:rsidRDefault="00A710EA" w:rsidP="007E5FFA">
      <w:pPr>
        <w:pStyle w:val="Nadpisparagrafu"/>
        <w:numPr>
          <w:ilvl w:val="0"/>
          <w:numId w:val="12"/>
        </w:numPr>
        <w:spacing w:before="0"/>
        <w:rPr>
          <w:rFonts w:ascii="Myriad Pro" w:eastAsia="Arial Unicode MS" w:hAnsi="Myriad Pro" w:cs="Myriad Pro"/>
          <w:color w:val="000000"/>
          <w:sz w:val="20"/>
          <w:szCs w:val="24"/>
          <w:lang w:eastAsia="zh-CN" w:bidi="hi-IN"/>
        </w:rPr>
      </w:pPr>
      <w:r w:rsidRPr="00A710EA">
        <w:rPr>
          <w:rFonts w:ascii="Myriad Pro" w:eastAsia="Arial Unicode MS" w:hAnsi="Myriad Pro" w:cs="Myriad Pro"/>
          <w:color w:val="000000"/>
          <w:sz w:val="20"/>
          <w:szCs w:val="24"/>
          <w:lang w:eastAsia="zh-CN" w:bidi="hi-IN"/>
        </w:rPr>
        <w:t>Sazba poplatku</w:t>
      </w:r>
    </w:p>
    <w:p w14:paraId="1BD30DFF" w14:textId="77777777" w:rsidR="00ED6A8C" w:rsidRPr="00ED6A8C" w:rsidRDefault="00ED6A8C" w:rsidP="00ED6A8C">
      <w:pPr>
        <w:pStyle w:val="Default"/>
        <w:numPr>
          <w:ilvl w:val="0"/>
          <w:numId w:val="30"/>
        </w:numPr>
        <w:spacing w:line="360" w:lineRule="auto"/>
        <w:jc w:val="both"/>
        <w:rPr>
          <w:sz w:val="20"/>
        </w:rPr>
      </w:pPr>
      <w:r w:rsidRPr="00ED6A8C">
        <w:rPr>
          <w:sz w:val="20"/>
        </w:rPr>
        <w:t xml:space="preserve">Sazba </w:t>
      </w:r>
      <w:r w:rsidR="00A710EA" w:rsidRPr="00ED6A8C">
        <w:rPr>
          <w:sz w:val="20"/>
        </w:rPr>
        <w:t>poplatku činí</w:t>
      </w:r>
      <w:r w:rsidR="000953B7">
        <w:rPr>
          <w:sz w:val="20"/>
        </w:rPr>
        <w:t>:</w:t>
      </w:r>
      <w:r w:rsidR="00A710EA" w:rsidRPr="00ED6A8C">
        <w:rPr>
          <w:sz w:val="20"/>
        </w:rPr>
        <w:t xml:space="preserve"> </w:t>
      </w:r>
    </w:p>
    <w:p w14:paraId="0ACCA224" w14:textId="77777777" w:rsidR="000953B7" w:rsidRDefault="000953B7" w:rsidP="00EC50AE">
      <w:pPr>
        <w:pStyle w:val="Default"/>
        <w:numPr>
          <w:ilvl w:val="1"/>
          <w:numId w:val="30"/>
        </w:numPr>
        <w:spacing w:line="360" w:lineRule="auto"/>
        <w:rPr>
          <w:sz w:val="20"/>
        </w:rPr>
      </w:pPr>
      <w:r w:rsidRPr="00EC50AE">
        <w:rPr>
          <w:b/>
          <w:bCs/>
          <w:sz w:val="20"/>
        </w:rPr>
        <w:t xml:space="preserve">za provádění výkopových prací, </w:t>
      </w:r>
      <w:r w:rsidRPr="00EC50AE">
        <w:rPr>
          <w:b/>
          <w:bCs/>
          <w:sz w:val="20"/>
        </w:rPr>
        <w:br/>
        <w:t xml:space="preserve">za umístění stavebních zařízení, </w:t>
      </w:r>
      <w:r w:rsidRPr="00EC50AE">
        <w:rPr>
          <w:b/>
          <w:bCs/>
          <w:sz w:val="20"/>
        </w:rPr>
        <w:br/>
        <w:t>za umístění skládky</w:t>
      </w:r>
      <w:r>
        <w:rPr>
          <w:b/>
          <w:bCs/>
          <w:sz w:val="20"/>
        </w:rPr>
        <w:t xml:space="preserve"> </w:t>
      </w:r>
      <w:r w:rsidR="00C02464">
        <w:rPr>
          <w:b/>
          <w:bCs/>
          <w:sz w:val="20"/>
        </w:rPr>
        <w:t>………………………….</w:t>
      </w:r>
      <w:r>
        <w:rPr>
          <w:sz w:val="20"/>
        </w:rPr>
        <w:t xml:space="preserve"> </w:t>
      </w:r>
      <w:r w:rsidR="00EC50AE">
        <w:rPr>
          <w:sz w:val="20"/>
        </w:rPr>
        <w:t>5</w:t>
      </w:r>
      <w:r>
        <w:rPr>
          <w:sz w:val="20"/>
        </w:rPr>
        <w:t xml:space="preserve">,- Kč </w:t>
      </w: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677502E3" w14:textId="77777777" w:rsidR="000953B7" w:rsidRPr="00773A80" w:rsidRDefault="000953B7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sz w:val="20"/>
        </w:rPr>
      </w:pPr>
      <w:r w:rsidRPr="00EC50AE">
        <w:rPr>
          <w:b/>
          <w:bCs/>
          <w:sz w:val="20"/>
        </w:rPr>
        <w:t>za užívání veřejného prostranství pro reklamní akci</w:t>
      </w:r>
      <w:r w:rsidR="00C02464">
        <w:rPr>
          <w:b/>
          <w:bCs/>
          <w:sz w:val="20"/>
        </w:rPr>
        <w:t xml:space="preserve"> </w:t>
      </w:r>
      <w:r w:rsidR="00C02464" w:rsidRPr="00C02464">
        <w:rPr>
          <w:b/>
          <w:bCs/>
          <w:sz w:val="20"/>
        </w:rPr>
        <w:t>…</w:t>
      </w:r>
      <w:r w:rsidR="00C02464">
        <w:rPr>
          <w:b/>
          <w:bCs/>
          <w:sz w:val="20"/>
        </w:rPr>
        <w:t>…</w:t>
      </w:r>
      <w:r w:rsidR="00C02464" w:rsidRPr="00C02464">
        <w:rPr>
          <w:b/>
          <w:bCs/>
          <w:sz w:val="20"/>
        </w:rPr>
        <w:t>.</w:t>
      </w:r>
      <w:r w:rsidR="00C02464">
        <w:rPr>
          <w:b/>
          <w:bCs/>
          <w:sz w:val="20"/>
        </w:rPr>
        <w:t xml:space="preserve"> </w:t>
      </w:r>
      <w:r>
        <w:rPr>
          <w:sz w:val="20"/>
        </w:rPr>
        <w:t xml:space="preserve">10,- Kč </w:t>
      </w: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0EFCA711" w14:textId="77777777" w:rsidR="000953B7" w:rsidRPr="00773A80" w:rsidRDefault="000953B7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sz w:val="20"/>
        </w:rPr>
      </w:pPr>
      <w:r w:rsidRPr="00EC50AE">
        <w:rPr>
          <w:b/>
          <w:bCs/>
          <w:sz w:val="20"/>
        </w:rPr>
        <w:t>za užívání veřejného prostranství pro potřeby tvorby filmových a televizních děl</w:t>
      </w:r>
      <w:r>
        <w:rPr>
          <w:b/>
          <w:bCs/>
          <w:sz w:val="20"/>
        </w:rPr>
        <w:t xml:space="preserve"> </w:t>
      </w:r>
      <w:r w:rsidR="00C02464" w:rsidRPr="00C02464">
        <w:rPr>
          <w:b/>
          <w:bCs/>
          <w:sz w:val="20"/>
        </w:rPr>
        <w:t>…</w:t>
      </w:r>
      <w:r w:rsidR="00C02464">
        <w:rPr>
          <w:b/>
          <w:bCs/>
          <w:sz w:val="20"/>
        </w:rPr>
        <w:t>…</w:t>
      </w:r>
      <w:r w:rsidR="00C02464" w:rsidRPr="00C02464">
        <w:rPr>
          <w:b/>
          <w:bCs/>
          <w:sz w:val="20"/>
        </w:rPr>
        <w:t>.</w:t>
      </w:r>
      <w:r w:rsidR="00C02464">
        <w:rPr>
          <w:b/>
          <w:bCs/>
          <w:sz w:val="20"/>
        </w:rPr>
        <w:t xml:space="preserve"> </w:t>
      </w:r>
      <w:r>
        <w:rPr>
          <w:sz w:val="20"/>
        </w:rPr>
        <w:t xml:space="preserve">10,- Kč </w:t>
      </w: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0DA20089" w14:textId="77777777" w:rsidR="000953B7" w:rsidRDefault="000953B7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sz w:val="20"/>
        </w:rPr>
      </w:pPr>
      <w:r w:rsidRPr="00EC50AE">
        <w:rPr>
          <w:b/>
          <w:bCs/>
          <w:sz w:val="20"/>
        </w:rPr>
        <w:t>za umístění zařízení lunaparků a jiných obdobných atrakcí</w:t>
      </w:r>
      <w:r w:rsidRPr="00ED6A8C">
        <w:rPr>
          <w:sz w:val="20"/>
        </w:rPr>
        <w:t xml:space="preserve"> </w:t>
      </w:r>
      <w:r w:rsidR="00C02464" w:rsidRPr="00C02464">
        <w:rPr>
          <w:b/>
          <w:bCs/>
          <w:sz w:val="20"/>
        </w:rPr>
        <w:t>…</w:t>
      </w:r>
      <w:r w:rsidR="00C02464">
        <w:rPr>
          <w:b/>
          <w:bCs/>
          <w:sz w:val="20"/>
        </w:rPr>
        <w:t>…………</w:t>
      </w:r>
      <w:proofErr w:type="gramStart"/>
      <w:r w:rsidR="00C02464">
        <w:rPr>
          <w:b/>
          <w:bCs/>
          <w:sz w:val="20"/>
        </w:rPr>
        <w:t>…….</w:t>
      </w:r>
      <w:proofErr w:type="gramEnd"/>
      <w:r w:rsidR="00D72ACC">
        <w:rPr>
          <w:sz w:val="20"/>
        </w:rPr>
        <w:t>15</w:t>
      </w:r>
      <w:r>
        <w:rPr>
          <w:sz w:val="20"/>
        </w:rPr>
        <w:t xml:space="preserve">,- Kč </w:t>
      </w:r>
      <w:r w:rsidRPr="00ED6A8C">
        <w:rPr>
          <w:sz w:val="20"/>
        </w:rPr>
        <w:t>za každý i započatý</w:t>
      </w:r>
      <w:r w:rsidR="00F410CB">
        <w:rPr>
          <w:sz w:val="20"/>
        </w:rPr>
        <w:t xml:space="preserve"> 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1AFB3494" w14:textId="77777777" w:rsidR="00A70B69" w:rsidRPr="00A70B69" w:rsidRDefault="000953B7" w:rsidP="00A70B69">
      <w:pPr>
        <w:pStyle w:val="Default"/>
        <w:numPr>
          <w:ilvl w:val="1"/>
          <w:numId w:val="30"/>
        </w:numPr>
        <w:spacing w:line="360" w:lineRule="auto"/>
        <w:jc w:val="both"/>
        <w:rPr>
          <w:b/>
          <w:bCs/>
          <w:sz w:val="20"/>
        </w:rPr>
      </w:pPr>
      <w:r w:rsidRPr="005B59C9">
        <w:rPr>
          <w:b/>
          <w:bCs/>
          <w:sz w:val="20"/>
        </w:rPr>
        <w:lastRenderedPageBreak/>
        <w:t>za umístění zařízení cirkusů</w:t>
      </w:r>
      <w:r>
        <w:rPr>
          <w:b/>
          <w:bCs/>
          <w:sz w:val="20"/>
        </w:rPr>
        <w:t xml:space="preserve"> </w:t>
      </w:r>
      <w:r w:rsidR="00D72ACC">
        <w:rPr>
          <w:b/>
          <w:bCs/>
          <w:sz w:val="20"/>
        </w:rPr>
        <w:t xml:space="preserve">……………. </w:t>
      </w:r>
      <w:r w:rsidR="006A65C1">
        <w:rPr>
          <w:sz w:val="20"/>
        </w:rPr>
        <w:t>10</w:t>
      </w:r>
      <w:r>
        <w:rPr>
          <w:sz w:val="20"/>
        </w:rPr>
        <w:t xml:space="preserve">,- Kč </w:t>
      </w:r>
      <w:r w:rsidRPr="00ED6A8C">
        <w:rPr>
          <w:sz w:val="20"/>
        </w:rPr>
        <w:t>za každý i započatý</w:t>
      </w:r>
      <w:r w:rsidR="00F410CB"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</w:t>
      </w:r>
      <w:r w:rsidR="00A70B69">
        <w:rPr>
          <w:sz w:val="20"/>
        </w:rPr>
        <w:t xml:space="preserve"> den</w:t>
      </w:r>
    </w:p>
    <w:p w14:paraId="321CDD12" w14:textId="2B0E4A3C" w:rsidR="00ED6A8C" w:rsidRPr="005B59C9" w:rsidRDefault="005B59C9" w:rsidP="005B59C9">
      <w:pPr>
        <w:pStyle w:val="Default"/>
        <w:spacing w:line="360" w:lineRule="auto"/>
        <w:ind w:left="1080"/>
        <w:jc w:val="both"/>
        <w:rPr>
          <w:b/>
          <w:bCs/>
          <w:sz w:val="20"/>
        </w:rPr>
      </w:pPr>
      <w:r w:rsidRPr="005B59C9">
        <w:rPr>
          <w:b/>
          <w:bCs/>
          <w:sz w:val="20"/>
        </w:rPr>
        <w:t>o</w:t>
      </w:r>
      <w:r w:rsidR="000953B7" w:rsidRPr="005B59C9">
        <w:rPr>
          <w:b/>
          <w:bCs/>
          <w:sz w:val="20"/>
        </w:rPr>
        <w:t xml:space="preserve">blast </w:t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5F0017">
        <w:rPr>
          <w:b/>
          <w:bCs/>
          <w:sz w:val="20"/>
        </w:rPr>
        <w:t>CENTRUM</w:t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5F0017">
        <w:rPr>
          <w:b/>
          <w:bCs/>
          <w:sz w:val="20"/>
        </w:rPr>
        <w:tab/>
        <w:t>OSTATNÍ</w:t>
      </w:r>
    </w:p>
    <w:p w14:paraId="1859C413" w14:textId="77777777" w:rsidR="00801FE6" w:rsidRPr="005B59C9" w:rsidRDefault="00A710EA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b/>
          <w:bCs/>
          <w:sz w:val="20"/>
        </w:rPr>
      </w:pPr>
      <w:r w:rsidRPr="005B59C9">
        <w:rPr>
          <w:b/>
          <w:bCs/>
          <w:sz w:val="20"/>
        </w:rPr>
        <w:t>za</w:t>
      </w:r>
      <w:r w:rsidR="00ED6A8C" w:rsidRPr="005B59C9">
        <w:rPr>
          <w:b/>
          <w:bCs/>
          <w:sz w:val="20"/>
        </w:rPr>
        <w:t xml:space="preserve"> </w:t>
      </w:r>
      <w:r w:rsidRPr="005B59C9">
        <w:rPr>
          <w:b/>
          <w:bCs/>
          <w:sz w:val="20"/>
        </w:rPr>
        <w:t>umístění reklamní</w:t>
      </w:r>
      <w:r w:rsidR="005B59C9" w:rsidRPr="005B59C9">
        <w:rPr>
          <w:b/>
          <w:bCs/>
          <w:sz w:val="20"/>
        </w:rPr>
        <w:t>ho</w:t>
      </w:r>
      <w:r w:rsidRPr="005B59C9">
        <w:rPr>
          <w:b/>
          <w:bCs/>
          <w:sz w:val="20"/>
        </w:rPr>
        <w:t xml:space="preserve"> zařízení</w:t>
      </w:r>
    </w:p>
    <w:p w14:paraId="46C3B9C9" w14:textId="77777777" w:rsidR="005B59C9" w:rsidRDefault="00387517" w:rsidP="005B59C9">
      <w:pPr>
        <w:pStyle w:val="Default"/>
        <w:spacing w:line="360" w:lineRule="auto"/>
        <w:ind w:left="5040"/>
        <w:jc w:val="both"/>
        <w:rPr>
          <w:sz w:val="20"/>
        </w:rPr>
      </w:pPr>
      <w:r>
        <w:rPr>
          <w:sz w:val="20"/>
        </w:rPr>
        <w:t>20</w:t>
      </w:r>
      <w:r w:rsidR="005B59C9">
        <w:rPr>
          <w:sz w:val="20"/>
        </w:rPr>
        <w:t>,- Kč</w:t>
      </w:r>
      <w:r w:rsidR="005B59C9">
        <w:rPr>
          <w:sz w:val="20"/>
        </w:rPr>
        <w:tab/>
      </w:r>
      <w:r w:rsidR="005B59C9">
        <w:rPr>
          <w:sz w:val="20"/>
        </w:rPr>
        <w:tab/>
      </w:r>
      <w:r w:rsidR="005B59C9">
        <w:rPr>
          <w:sz w:val="20"/>
        </w:rPr>
        <w:tab/>
      </w:r>
      <w:r w:rsidR="005B59C9">
        <w:rPr>
          <w:sz w:val="20"/>
        </w:rPr>
        <w:tab/>
        <w:t>10,- Kč</w:t>
      </w:r>
    </w:p>
    <w:p w14:paraId="5DBB264A" w14:textId="77777777" w:rsidR="005B59C9" w:rsidRDefault="005B59C9" w:rsidP="005B59C9">
      <w:pPr>
        <w:pStyle w:val="Default"/>
        <w:spacing w:line="360" w:lineRule="auto"/>
        <w:ind w:left="5040"/>
        <w:jc w:val="both"/>
        <w:rPr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  <w:r w:rsidR="00B14D2E">
        <w:rPr>
          <w:sz w:val="20"/>
        </w:rPr>
        <w:t xml:space="preserve"> nebo</w:t>
      </w:r>
    </w:p>
    <w:p w14:paraId="6FB8CFA7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200,- Kč</w:t>
      </w:r>
    </w:p>
    <w:p w14:paraId="200333A7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</w:t>
      </w:r>
      <w:r>
        <w:rPr>
          <w:sz w:val="20"/>
        </w:rPr>
        <w:t>za měsíc, nebo</w:t>
      </w:r>
    </w:p>
    <w:p w14:paraId="35E15C6B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4000,-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2000,- Kč</w:t>
      </w:r>
    </w:p>
    <w:p w14:paraId="21A34B0A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</w:t>
      </w:r>
      <w:r>
        <w:rPr>
          <w:sz w:val="20"/>
        </w:rPr>
        <w:t>za rok,</w:t>
      </w:r>
    </w:p>
    <w:p w14:paraId="10829421" w14:textId="77777777" w:rsidR="005B59C9" w:rsidRPr="005B59C9" w:rsidRDefault="005B59C9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sz w:val="20"/>
        </w:rPr>
      </w:pPr>
      <w:r w:rsidRPr="005B59C9">
        <w:rPr>
          <w:b/>
          <w:bCs/>
          <w:sz w:val="20"/>
        </w:rPr>
        <w:t>za umístění přenosného reklamní</w:t>
      </w:r>
      <w:r>
        <w:rPr>
          <w:b/>
          <w:bCs/>
          <w:sz w:val="20"/>
        </w:rPr>
        <w:t>ho</w:t>
      </w:r>
      <w:r w:rsidRPr="005B59C9">
        <w:rPr>
          <w:b/>
          <w:bCs/>
          <w:sz w:val="20"/>
        </w:rPr>
        <w:t xml:space="preserve"> zařízení</w:t>
      </w:r>
      <w:r>
        <w:rPr>
          <w:sz w:val="20"/>
        </w:rPr>
        <w:t>, jehož půdorysná plocha nepřesahuje 1 m</w:t>
      </w:r>
      <w:r w:rsidRPr="005B59C9">
        <w:rPr>
          <w:sz w:val="20"/>
          <w:vertAlign w:val="superscript"/>
        </w:rPr>
        <w:t>2</w:t>
      </w:r>
    </w:p>
    <w:p w14:paraId="7C797320" w14:textId="77777777" w:rsidR="005B59C9" w:rsidRDefault="005B59C9" w:rsidP="005B59C9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20,-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10,- Kč</w:t>
      </w:r>
    </w:p>
    <w:p w14:paraId="5A429B38" w14:textId="77777777" w:rsidR="005B59C9" w:rsidRDefault="005B59C9" w:rsidP="005B59C9">
      <w:pPr>
        <w:pStyle w:val="Default"/>
        <w:spacing w:line="360" w:lineRule="auto"/>
        <w:ind w:left="5040"/>
        <w:jc w:val="both"/>
        <w:rPr>
          <w:sz w:val="20"/>
        </w:rPr>
      </w:pPr>
      <w:r w:rsidRPr="00ED6A8C">
        <w:rPr>
          <w:sz w:val="20"/>
        </w:rPr>
        <w:t xml:space="preserve">za </w:t>
      </w:r>
      <w:r>
        <w:rPr>
          <w:sz w:val="20"/>
        </w:rPr>
        <w:t>1 ks</w:t>
      </w:r>
      <w:r w:rsidRPr="00ED6A8C">
        <w:rPr>
          <w:sz w:val="20"/>
        </w:rPr>
        <w:t xml:space="preserve"> a každý i započatý </w:t>
      </w:r>
      <w:r w:rsidR="00B14D2E">
        <w:rPr>
          <w:sz w:val="20"/>
        </w:rPr>
        <w:t>den</w:t>
      </w:r>
      <w:r>
        <w:rPr>
          <w:sz w:val="20"/>
        </w:rPr>
        <w:t>,</w:t>
      </w:r>
      <w:r w:rsidR="00B14D2E">
        <w:rPr>
          <w:sz w:val="20"/>
        </w:rPr>
        <w:t xml:space="preserve"> nebo</w:t>
      </w:r>
    </w:p>
    <w:p w14:paraId="48499247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200,- Kč</w:t>
      </w:r>
    </w:p>
    <w:p w14:paraId="497D8CF4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sz w:val="20"/>
        </w:rPr>
      </w:pPr>
      <w:r w:rsidRPr="00ED6A8C">
        <w:rPr>
          <w:sz w:val="20"/>
        </w:rPr>
        <w:t xml:space="preserve">za </w:t>
      </w:r>
      <w:r>
        <w:rPr>
          <w:sz w:val="20"/>
        </w:rPr>
        <w:t>1 ks</w:t>
      </w:r>
      <w:r w:rsidRPr="00ED6A8C">
        <w:rPr>
          <w:sz w:val="20"/>
        </w:rPr>
        <w:t xml:space="preserve"> </w:t>
      </w:r>
      <w:r>
        <w:rPr>
          <w:sz w:val="20"/>
        </w:rPr>
        <w:t>za měsíc, nebo</w:t>
      </w:r>
    </w:p>
    <w:p w14:paraId="70953A57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4000,-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2000,- Kč</w:t>
      </w:r>
    </w:p>
    <w:p w14:paraId="27EC034F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sz w:val="20"/>
        </w:rPr>
      </w:pPr>
      <w:r w:rsidRPr="00ED6A8C">
        <w:rPr>
          <w:sz w:val="20"/>
        </w:rPr>
        <w:t xml:space="preserve">za </w:t>
      </w:r>
      <w:r>
        <w:rPr>
          <w:sz w:val="20"/>
        </w:rPr>
        <w:t>1 ks</w:t>
      </w:r>
      <w:r w:rsidRPr="00ED6A8C">
        <w:rPr>
          <w:sz w:val="20"/>
        </w:rPr>
        <w:t xml:space="preserve"> </w:t>
      </w:r>
      <w:r>
        <w:rPr>
          <w:sz w:val="20"/>
        </w:rPr>
        <w:t>za rok,</w:t>
      </w:r>
    </w:p>
    <w:p w14:paraId="2447B02A" w14:textId="77777777" w:rsidR="005B59C9" w:rsidRDefault="005B59C9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sz w:val="20"/>
        </w:rPr>
      </w:pPr>
      <w:r w:rsidRPr="00064D84">
        <w:rPr>
          <w:b/>
          <w:bCs/>
          <w:sz w:val="20"/>
        </w:rPr>
        <w:t>za umístění dočasné stavby a zařízení sloužících pro poskytování služeb</w:t>
      </w:r>
      <w:r w:rsidR="006A65C1">
        <w:rPr>
          <w:b/>
          <w:bCs/>
          <w:sz w:val="20"/>
        </w:rPr>
        <w:t xml:space="preserve"> a prodeje</w:t>
      </w:r>
      <w:r w:rsidR="00707D3D">
        <w:rPr>
          <w:sz w:val="20"/>
        </w:rPr>
        <w:t>:</w:t>
      </w:r>
    </w:p>
    <w:p w14:paraId="6D3DF327" w14:textId="77777777" w:rsidR="00707D3D" w:rsidRPr="00064D84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064D84">
        <w:rPr>
          <w:b/>
          <w:bCs/>
          <w:sz w:val="20"/>
        </w:rPr>
        <w:t>předzahrádky určené k poskytování občerstvení</w:t>
      </w:r>
    </w:p>
    <w:p w14:paraId="7CA60C56" w14:textId="77777777" w:rsidR="00AA57A2" w:rsidRPr="00AA57A2" w:rsidRDefault="00AA57A2" w:rsidP="00AA57A2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1</w:t>
      </w:r>
      <w:r w:rsidRPr="00AA57A2">
        <w:rPr>
          <w:sz w:val="20"/>
        </w:rPr>
        <w:t>0,- Kč</w:t>
      </w:r>
      <w:r w:rsidRPr="00AA57A2">
        <w:rPr>
          <w:sz w:val="20"/>
        </w:rPr>
        <w:tab/>
      </w:r>
      <w:r w:rsidRPr="00AA57A2">
        <w:rPr>
          <w:sz w:val="20"/>
        </w:rPr>
        <w:tab/>
      </w:r>
      <w:r w:rsidRPr="00AA57A2">
        <w:rPr>
          <w:sz w:val="20"/>
        </w:rPr>
        <w:tab/>
      </w:r>
      <w:r w:rsidRPr="00AA57A2">
        <w:rPr>
          <w:sz w:val="20"/>
        </w:rPr>
        <w:tab/>
      </w:r>
      <w:r>
        <w:rPr>
          <w:sz w:val="20"/>
        </w:rPr>
        <w:t>5</w:t>
      </w:r>
      <w:r w:rsidRPr="00AA57A2">
        <w:rPr>
          <w:sz w:val="20"/>
        </w:rPr>
        <w:t>,- Kč</w:t>
      </w:r>
    </w:p>
    <w:p w14:paraId="0934321C" w14:textId="77777777" w:rsidR="00AA57A2" w:rsidRDefault="00AA57A2" w:rsidP="00AA57A2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AA57A2">
        <w:rPr>
          <w:sz w:val="20"/>
        </w:rPr>
        <w:t>za každý i započatý m</w:t>
      </w:r>
      <w:r w:rsidRPr="007B7B82">
        <w:rPr>
          <w:sz w:val="20"/>
          <w:vertAlign w:val="superscript"/>
        </w:rPr>
        <w:t>2</w:t>
      </w:r>
      <w:r w:rsidRPr="00AA57A2">
        <w:rPr>
          <w:sz w:val="20"/>
        </w:rPr>
        <w:t xml:space="preserve"> a každý i započatý den,</w:t>
      </w:r>
      <w:r>
        <w:rPr>
          <w:sz w:val="20"/>
        </w:rPr>
        <w:t xml:space="preserve"> nebo</w:t>
      </w:r>
    </w:p>
    <w:p w14:paraId="3273212F" w14:textId="77777777" w:rsidR="00064D84" w:rsidRDefault="006B7EDA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50</w:t>
      </w:r>
      <w:r w:rsidR="00064D84">
        <w:rPr>
          <w:sz w:val="20"/>
        </w:rPr>
        <w:t>,- Kč</w:t>
      </w:r>
      <w:r w:rsidR="00064D84">
        <w:rPr>
          <w:sz w:val="20"/>
        </w:rPr>
        <w:tab/>
      </w:r>
      <w:r w:rsidR="00064D84">
        <w:rPr>
          <w:sz w:val="20"/>
        </w:rPr>
        <w:tab/>
      </w:r>
      <w:r w:rsidR="00064D84">
        <w:rPr>
          <w:sz w:val="20"/>
        </w:rPr>
        <w:tab/>
      </w:r>
      <w:r w:rsidR="00064D84">
        <w:rPr>
          <w:sz w:val="20"/>
        </w:rPr>
        <w:tab/>
      </w:r>
      <w:r>
        <w:rPr>
          <w:sz w:val="20"/>
        </w:rPr>
        <w:t>25</w:t>
      </w:r>
      <w:r w:rsidR="00064D84">
        <w:rPr>
          <w:sz w:val="20"/>
        </w:rPr>
        <w:t>,- Kč</w:t>
      </w:r>
    </w:p>
    <w:p w14:paraId="05CCC6B8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 w:rsidR="00AA57A2">
        <w:rPr>
          <w:sz w:val="20"/>
        </w:rPr>
        <w:t xml:space="preserve"> </w:t>
      </w:r>
      <w:r>
        <w:rPr>
          <w:sz w:val="20"/>
        </w:rPr>
        <w:t>měsíc,</w:t>
      </w:r>
      <w:r w:rsidR="009E2083">
        <w:rPr>
          <w:sz w:val="20"/>
        </w:rPr>
        <w:t xml:space="preserve"> nebo</w:t>
      </w:r>
    </w:p>
    <w:p w14:paraId="1BF02EA1" w14:textId="77777777" w:rsidR="009E2083" w:rsidRDefault="006B7EDA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450</w:t>
      </w:r>
      <w:r w:rsidR="009E2083">
        <w:rPr>
          <w:sz w:val="20"/>
        </w:rPr>
        <w:t>,- Kč</w:t>
      </w:r>
      <w:r w:rsidR="009E2083">
        <w:rPr>
          <w:sz w:val="20"/>
        </w:rPr>
        <w:tab/>
      </w:r>
      <w:r w:rsidR="009E2083">
        <w:rPr>
          <w:sz w:val="20"/>
        </w:rPr>
        <w:tab/>
      </w:r>
      <w:r w:rsidR="009E2083">
        <w:rPr>
          <w:sz w:val="20"/>
        </w:rPr>
        <w:tab/>
      </w:r>
      <w:r w:rsidR="00BA1619">
        <w:rPr>
          <w:sz w:val="20"/>
        </w:rPr>
        <w:tab/>
      </w:r>
      <w:r>
        <w:rPr>
          <w:sz w:val="20"/>
        </w:rPr>
        <w:t>225</w:t>
      </w:r>
      <w:r w:rsidR="009E2083">
        <w:rPr>
          <w:sz w:val="20"/>
        </w:rPr>
        <w:t>,- Kč</w:t>
      </w:r>
    </w:p>
    <w:p w14:paraId="6839894A" w14:textId="77777777" w:rsidR="009E2083" w:rsidRDefault="009E2083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>
        <w:rPr>
          <w:sz w:val="20"/>
        </w:rPr>
        <w:t xml:space="preserve"> rok,</w:t>
      </w:r>
    </w:p>
    <w:p w14:paraId="0254BB92" w14:textId="77777777" w:rsidR="00707D3D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064D84">
        <w:rPr>
          <w:b/>
          <w:bCs/>
          <w:sz w:val="20"/>
        </w:rPr>
        <w:t>prodejního zařízení</w:t>
      </w:r>
    </w:p>
    <w:p w14:paraId="07AC81CC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60,-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30,- Kč</w:t>
      </w:r>
    </w:p>
    <w:p w14:paraId="7FFC1399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</w:t>
      </w:r>
      <w:r>
        <w:rPr>
          <w:sz w:val="20"/>
        </w:rPr>
        <w:t>den,</w:t>
      </w:r>
      <w:r w:rsidR="00AA57A2">
        <w:rPr>
          <w:sz w:val="20"/>
        </w:rPr>
        <w:t xml:space="preserve"> nebo</w:t>
      </w:r>
    </w:p>
    <w:p w14:paraId="0488D707" w14:textId="77777777" w:rsidR="00AA57A2" w:rsidRPr="00AA57A2" w:rsidRDefault="006B7EDA" w:rsidP="00AA57A2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</w:t>
      </w:r>
      <w:r w:rsidR="00AA57A2">
        <w:rPr>
          <w:sz w:val="20"/>
        </w:rPr>
        <w:t>0</w:t>
      </w:r>
      <w:r w:rsidR="00AA57A2" w:rsidRPr="00AA57A2">
        <w:rPr>
          <w:sz w:val="20"/>
        </w:rPr>
        <w:t>0,- Kč</w:t>
      </w:r>
      <w:r w:rsidR="00AA57A2" w:rsidRPr="00AA57A2">
        <w:rPr>
          <w:sz w:val="20"/>
        </w:rPr>
        <w:tab/>
      </w:r>
      <w:r w:rsidR="00AA57A2" w:rsidRPr="00AA57A2">
        <w:rPr>
          <w:sz w:val="20"/>
        </w:rPr>
        <w:tab/>
      </w:r>
      <w:r w:rsidR="00AA57A2" w:rsidRPr="00AA57A2">
        <w:rPr>
          <w:sz w:val="20"/>
        </w:rPr>
        <w:tab/>
      </w:r>
      <w:r w:rsidR="00AA57A2" w:rsidRPr="00AA57A2">
        <w:rPr>
          <w:sz w:val="20"/>
        </w:rPr>
        <w:tab/>
      </w:r>
      <w:r>
        <w:rPr>
          <w:sz w:val="20"/>
        </w:rPr>
        <w:t>2</w:t>
      </w:r>
      <w:r w:rsidR="009E2083">
        <w:rPr>
          <w:sz w:val="20"/>
        </w:rPr>
        <w:t>0</w:t>
      </w:r>
      <w:r w:rsidR="00AA57A2" w:rsidRPr="00AA57A2">
        <w:rPr>
          <w:sz w:val="20"/>
        </w:rPr>
        <w:t>0,- Kč</w:t>
      </w:r>
    </w:p>
    <w:p w14:paraId="10ADD4E1" w14:textId="77777777" w:rsidR="00AA57A2" w:rsidRDefault="00AA57A2" w:rsidP="00AA57A2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AA57A2">
        <w:rPr>
          <w:sz w:val="20"/>
        </w:rPr>
        <w:t>za každý i započatý m</w:t>
      </w:r>
      <w:r w:rsidRPr="009E2083">
        <w:rPr>
          <w:sz w:val="20"/>
          <w:vertAlign w:val="superscript"/>
        </w:rPr>
        <w:t>2</w:t>
      </w:r>
      <w:r w:rsidRPr="00AA57A2">
        <w:rPr>
          <w:sz w:val="20"/>
        </w:rPr>
        <w:t xml:space="preserve"> za </w:t>
      </w:r>
      <w:r w:rsidR="009E2083">
        <w:rPr>
          <w:sz w:val="20"/>
        </w:rPr>
        <w:t>měsíc</w:t>
      </w:r>
      <w:r w:rsidRPr="00AA57A2">
        <w:rPr>
          <w:sz w:val="20"/>
        </w:rPr>
        <w:t>,</w:t>
      </w:r>
    </w:p>
    <w:p w14:paraId="77CC6B17" w14:textId="77777777" w:rsidR="009E2083" w:rsidRDefault="006B7EDA" w:rsidP="009E2083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4.000</w:t>
      </w:r>
      <w:r w:rsidR="009E2083">
        <w:rPr>
          <w:sz w:val="20"/>
        </w:rPr>
        <w:t>,- Kč</w:t>
      </w:r>
      <w:r w:rsidR="009E2083">
        <w:rPr>
          <w:sz w:val="20"/>
        </w:rPr>
        <w:tab/>
      </w:r>
      <w:r w:rsidR="009E2083">
        <w:rPr>
          <w:sz w:val="20"/>
        </w:rPr>
        <w:tab/>
      </w:r>
      <w:r w:rsidR="009E2083">
        <w:rPr>
          <w:sz w:val="20"/>
        </w:rPr>
        <w:tab/>
      </w:r>
      <w:r>
        <w:rPr>
          <w:sz w:val="20"/>
        </w:rPr>
        <w:t>2</w:t>
      </w:r>
      <w:r w:rsidR="009E2083">
        <w:rPr>
          <w:sz w:val="20"/>
        </w:rPr>
        <w:t>.0</w:t>
      </w:r>
      <w:r>
        <w:rPr>
          <w:sz w:val="20"/>
        </w:rPr>
        <w:t>0</w:t>
      </w:r>
      <w:r w:rsidR="009E2083">
        <w:rPr>
          <w:sz w:val="20"/>
        </w:rPr>
        <w:t>0,- Kč</w:t>
      </w:r>
    </w:p>
    <w:p w14:paraId="783549C3" w14:textId="77777777" w:rsidR="009E2083" w:rsidRPr="00064D84" w:rsidRDefault="009E2083" w:rsidP="009E2083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>
        <w:rPr>
          <w:sz w:val="20"/>
        </w:rPr>
        <w:t xml:space="preserve"> rok,</w:t>
      </w:r>
    </w:p>
    <w:p w14:paraId="2F5BBA26" w14:textId="77777777" w:rsidR="00707D3D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064D84">
        <w:rPr>
          <w:b/>
          <w:bCs/>
          <w:sz w:val="20"/>
        </w:rPr>
        <w:t>prodejního zařízení v</w:t>
      </w:r>
      <w:r w:rsidR="00064D84">
        <w:rPr>
          <w:b/>
          <w:bCs/>
          <w:sz w:val="20"/>
        </w:rPr>
        <w:t> </w:t>
      </w:r>
      <w:r w:rsidRPr="00064D84">
        <w:rPr>
          <w:b/>
          <w:bCs/>
          <w:sz w:val="20"/>
        </w:rPr>
        <w:t>podobě přenosných stolků a stojanů umístěných před vlastní prodejnou nebo provozovnou za účelem rozšíření prodeje nebo vystavení zboží stejného sortimentu jako v</w:t>
      </w:r>
      <w:r w:rsidR="00064D84">
        <w:rPr>
          <w:b/>
          <w:bCs/>
          <w:sz w:val="20"/>
        </w:rPr>
        <w:t> </w:t>
      </w:r>
      <w:r w:rsidRPr="00064D84">
        <w:rPr>
          <w:b/>
          <w:bCs/>
          <w:sz w:val="20"/>
        </w:rPr>
        <w:t>prodejně či provozovně</w:t>
      </w:r>
    </w:p>
    <w:p w14:paraId="6D010477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20,-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10,- Kč</w:t>
      </w:r>
    </w:p>
    <w:p w14:paraId="5B154011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</w:t>
      </w:r>
      <w:r>
        <w:rPr>
          <w:sz w:val="20"/>
        </w:rPr>
        <w:t>den, nebo</w:t>
      </w:r>
    </w:p>
    <w:p w14:paraId="5947A94F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200,-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100,- Kč</w:t>
      </w:r>
    </w:p>
    <w:p w14:paraId="2D373370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lastRenderedPageBreak/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 </w:t>
      </w:r>
      <w:r>
        <w:rPr>
          <w:sz w:val="20"/>
        </w:rPr>
        <w:t>měsíc,</w:t>
      </w:r>
    </w:p>
    <w:p w14:paraId="39BD0D34" w14:textId="77777777" w:rsidR="009E2083" w:rsidRDefault="009E2083" w:rsidP="009E2083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2.</w:t>
      </w:r>
      <w:r w:rsidR="006B7EDA">
        <w:rPr>
          <w:sz w:val="20"/>
        </w:rPr>
        <w:t>0</w:t>
      </w:r>
      <w:r>
        <w:rPr>
          <w:sz w:val="20"/>
        </w:rPr>
        <w:t>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1.0</w:t>
      </w:r>
      <w:r w:rsidR="006B7EDA">
        <w:rPr>
          <w:sz w:val="20"/>
        </w:rPr>
        <w:t>0</w:t>
      </w:r>
      <w:r>
        <w:rPr>
          <w:sz w:val="20"/>
        </w:rPr>
        <w:t>0,- Kč</w:t>
      </w:r>
    </w:p>
    <w:p w14:paraId="24B0629A" w14:textId="77777777" w:rsidR="009E2083" w:rsidRPr="00064D84" w:rsidRDefault="009E2083" w:rsidP="009E2083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>
        <w:rPr>
          <w:sz w:val="20"/>
        </w:rPr>
        <w:t xml:space="preserve"> rok,</w:t>
      </w:r>
    </w:p>
    <w:p w14:paraId="1DC37834" w14:textId="77777777" w:rsidR="00707D3D" w:rsidRPr="00EC50AE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EC50AE">
        <w:rPr>
          <w:b/>
          <w:bCs/>
          <w:sz w:val="20"/>
        </w:rPr>
        <w:t xml:space="preserve">pojízdného prostředku sloužícího k poskytování prodeje a služeb </w:t>
      </w:r>
    </w:p>
    <w:p w14:paraId="6EE71697" w14:textId="77777777" w:rsidR="00EC50AE" w:rsidRDefault="00EC50AE" w:rsidP="00EC50AE">
      <w:pPr>
        <w:pStyle w:val="Default"/>
        <w:spacing w:line="360" w:lineRule="auto"/>
        <w:ind w:left="4320" w:firstLine="720"/>
        <w:jc w:val="both"/>
        <w:rPr>
          <w:sz w:val="20"/>
        </w:rPr>
      </w:pPr>
      <w:r>
        <w:rPr>
          <w:sz w:val="20"/>
        </w:rPr>
        <w:t>10,-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10,- Kč</w:t>
      </w:r>
    </w:p>
    <w:p w14:paraId="325A856F" w14:textId="77777777" w:rsidR="00EC50AE" w:rsidRDefault="00EC50AE" w:rsidP="00EC50AE">
      <w:pPr>
        <w:pStyle w:val="Default"/>
        <w:spacing w:line="360" w:lineRule="auto"/>
        <w:ind w:left="4320" w:firstLine="720"/>
        <w:jc w:val="both"/>
        <w:rPr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</w:t>
      </w:r>
      <w:r>
        <w:rPr>
          <w:sz w:val="20"/>
        </w:rPr>
        <w:t xml:space="preserve">den, </w:t>
      </w:r>
    </w:p>
    <w:p w14:paraId="55BDC06D" w14:textId="77777777" w:rsidR="00707D3D" w:rsidRPr="00EC50AE" w:rsidRDefault="00A710EA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b/>
          <w:bCs/>
          <w:sz w:val="20"/>
        </w:rPr>
      </w:pPr>
      <w:r w:rsidRPr="00EC50AE">
        <w:rPr>
          <w:b/>
          <w:bCs/>
          <w:sz w:val="20"/>
        </w:rPr>
        <w:t>za vyhrazení trvalého parkovacího místa</w:t>
      </w:r>
      <w:r w:rsidR="00621A0F" w:rsidRPr="00EC50AE">
        <w:rPr>
          <w:b/>
          <w:bCs/>
          <w:sz w:val="20"/>
        </w:rPr>
        <w:t xml:space="preserve"> </w:t>
      </w:r>
      <w:r w:rsidR="00707D3D" w:rsidRPr="00EC50AE">
        <w:rPr>
          <w:b/>
          <w:bCs/>
          <w:sz w:val="20"/>
        </w:rPr>
        <w:t>svislou dopravní značkou</w:t>
      </w:r>
    </w:p>
    <w:p w14:paraId="6B8BEBEA" w14:textId="77777777" w:rsidR="00707D3D" w:rsidRPr="00F410CB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F410CB">
        <w:rPr>
          <w:b/>
          <w:bCs/>
          <w:sz w:val="20"/>
        </w:rPr>
        <w:t>pro osobní vozidlo</w:t>
      </w:r>
    </w:p>
    <w:p w14:paraId="71E6536F" w14:textId="77777777" w:rsidR="00F410CB" w:rsidRDefault="00D44D98" w:rsidP="00F410CB">
      <w:pPr>
        <w:pStyle w:val="Default"/>
        <w:spacing w:line="360" w:lineRule="auto"/>
        <w:ind w:left="5760"/>
        <w:jc w:val="both"/>
        <w:rPr>
          <w:sz w:val="20"/>
        </w:rPr>
      </w:pPr>
      <w:r>
        <w:rPr>
          <w:sz w:val="20"/>
        </w:rPr>
        <w:t>8</w:t>
      </w:r>
      <w:r w:rsidR="00F410CB">
        <w:rPr>
          <w:sz w:val="20"/>
        </w:rPr>
        <w:t>.000,-Kč</w:t>
      </w:r>
      <w:r w:rsidR="00F410CB">
        <w:rPr>
          <w:sz w:val="20"/>
        </w:rPr>
        <w:tab/>
      </w:r>
      <w:r w:rsidR="00F410CB">
        <w:rPr>
          <w:sz w:val="20"/>
        </w:rPr>
        <w:tab/>
      </w:r>
      <w:r>
        <w:rPr>
          <w:sz w:val="20"/>
        </w:rPr>
        <w:t>4.000</w:t>
      </w:r>
      <w:r w:rsidR="00F410CB">
        <w:rPr>
          <w:sz w:val="20"/>
        </w:rPr>
        <w:t>,- Kč</w:t>
      </w:r>
    </w:p>
    <w:p w14:paraId="2C1BCB07" w14:textId="77777777" w:rsidR="00F410CB" w:rsidRDefault="00F410CB" w:rsidP="00F410CB">
      <w:pPr>
        <w:pStyle w:val="Default"/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rFonts w:hint="eastAsia"/>
          <w:sz w:val="20"/>
        </w:rPr>
        <w:t>za</w:t>
      </w:r>
      <w:r>
        <w:rPr>
          <w:sz w:val="20"/>
        </w:rPr>
        <w:t xml:space="preserve"> parkovací místo a kalendářní rok,</w:t>
      </w:r>
    </w:p>
    <w:p w14:paraId="41488F34" w14:textId="77777777" w:rsidR="00707D3D" w:rsidRPr="00F410CB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F410CB">
        <w:rPr>
          <w:b/>
          <w:bCs/>
          <w:sz w:val="20"/>
        </w:rPr>
        <w:t>pro nákladní vozidlo do 3.5 t nebo přívěs</w:t>
      </w:r>
    </w:p>
    <w:p w14:paraId="17AA988F" w14:textId="77777777" w:rsidR="00F410CB" w:rsidRDefault="00D44D98" w:rsidP="00F410CB">
      <w:pPr>
        <w:pStyle w:val="Default"/>
        <w:spacing w:line="360" w:lineRule="auto"/>
        <w:ind w:left="5040" w:firstLine="720"/>
        <w:jc w:val="both"/>
        <w:rPr>
          <w:sz w:val="20"/>
        </w:rPr>
      </w:pPr>
      <w:r>
        <w:rPr>
          <w:sz w:val="20"/>
        </w:rPr>
        <w:t>12</w:t>
      </w:r>
      <w:r w:rsidR="00F410CB">
        <w:rPr>
          <w:sz w:val="20"/>
        </w:rPr>
        <w:t>.000,-Kč</w:t>
      </w:r>
      <w:r w:rsidR="00F410CB">
        <w:rPr>
          <w:sz w:val="20"/>
        </w:rPr>
        <w:tab/>
      </w:r>
      <w:r w:rsidR="00F410CB">
        <w:rPr>
          <w:sz w:val="20"/>
        </w:rPr>
        <w:tab/>
      </w:r>
      <w:r>
        <w:rPr>
          <w:sz w:val="20"/>
        </w:rPr>
        <w:t>6.000</w:t>
      </w:r>
      <w:r w:rsidR="00F410CB">
        <w:rPr>
          <w:sz w:val="20"/>
        </w:rPr>
        <w:t>,- Kč</w:t>
      </w:r>
    </w:p>
    <w:p w14:paraId="06AB5130" w14:textId="77777777" w:rsidR="00F410CB" w:rsidRDefault="00F410CB" w:rsidP="00F410CB">
      <w:pPr>
        <w:pStyle w:val="Default"/>
        <w:spacing w:line="360" w:lineRule="auto"/>
        <w:ind w:left="720" w:firstLine="720"/>
        <w:jc w:val="both"/>
        <w:rPr>
          <w:sz w:val="20"/>
        </w:rPr>
      </w:pPr>
      <w:r>
        <w:rPr>
          <w:rFonts w:hint="eastAsia"/>
          <w:sz w:val="20"/>
        </w:rPr>
        <w:t>za</w:t>
      </w:r>
      <w:r>
        <w:rPr>
          <w:sz w:val="20"/>
        </w:rPr>
        <w:t xml:space="preserve"> parkovací místo a kalendářní rok,</w:t>
      </w:r>
    </w:p>
    <w:p w14:paraId="75564A7E" w14:textId="77777777" w:rsidR="00F410CB" w:rsidRPr="00F410CB" w:rsidRDefault="00621A0F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b/>
          <w:bCs/>
          <w:sz w:val="20"/>
        </w:rPr>
      </w:pPr>
      <w:r w:rsidRPr="00F410CB">
        <w:rPr>
          <w:b/>
          <w:bCs/>
          <w:sz w:val="20"/>
        </w:rPr>
        <w:t xml:space="preserve">pro </w:t>
      </w:r>
      <w:r w:rsidR="00707D3D" w:rsidRPr="00F410CB">
        <w:rPr>
          <w:b/>
          <w:bCs/>
          <w:sz w:val="20"/>
        </w:rPr>
        <w:t>nákl</w:t>
      </w:r>
      <w:r w:rsidR="00F410CB" w:rsidRPr="00F410CB">
        <w:rPr>
          <w:b/>
          <w:bCs/>
          <w:sz w:val="20"/>
        </w:rPr>
        <w:t>a</w:t>
      </w:r>
      <w:r w:rsidR="00707D3D" w:rsidRPr="00F410CB">
        <w:rPr>
          <w:b/>
          <w:bCs/>
          <w:sz w:val="20"/>
        </w:rPr>
        <w:t xml:space="preserve">dní </w:t>
      </w:r>
      <w:r w:rsidRPr="00F410CB">
        <w:rPr>
          <w:b/>
          <w:bCs/>
          <w:sz w:val="20"/>
        </w:rPr>
        <w:t>vozidl</w:t>
      </w:r>
      <w:r w:rsidR="00707D3D" w:rsidRPr="00F410CB">
        <w:rPr>
          <w:b/>
          <w:bCs/>
          <w:sz w:val="20"/>
        </w:rPr>
        <w:t>o</w:t>
      </w:r>
      <w:r w:rsidRPr="00F410CB">
        <w:rPr>
          <w:b/>
          <w:bCs/>
          <w:sz w:val="20"/>
        </w:rPr>
        <w:t xml:space="preserve"> </w:t>
      </w:r>
      <w:r w:rsidR="00707D3D" w:rsidRPr="00F410CB">
        <w:rPr>
          <w:b/>
          <w:bCs/>
          <w:sz w:val="20"/>
        </w:rPr>
        <w:t>nad</w:t>
      </w:r>
      <w:r w:rsidRPr="00F410CB">
        <w:rPr>
          <w:b/>
          <w:bCs/>
          <w:sz w:val="20"/>
        </w:rPr>
        <w:t xml:space="preserve"> 3</w:t>
      </w:r>
      <w:r w:rsidR="00EC50AE">
        <w:rPr>
          <w:b/>
          <w:bCs/>
          <w:sz w:val="20"/>
        </w:rPr>
        <w:t>.</w:t>
      </w:r>
      <w:r w:rsidRPr="00F410CB">
        <w:rPr>
          <w:b/>
          <w:bCs/>
          <w:sz w:val="20"/>
        </w:rPr>
        <w:t>5 t</w:t>
      </w:r>
    </w:p>
    <w:p w14:paraId="0A74BC7D" w14:textId="77777777" w:rsidR="00A70B69" w:rsidRDefault="007B7B82" w:rsidP="00D331A5">
      <w:pPr>
        <w:pStyle w:val="Default"/>
        <w:spacing w:line="360" w:lineRule="auto"/>
        <w:ind w:left="5040" w:firstLine="720"/>
        <w:jc w:val="both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xx</w:t>
      </w:r>
      <w:proofErr w:type="spellEnd"/>
      <w:r w:rsidR="00F410CB">
        <w:rPr>
          <w:sz w:val="20"/>
        </w:rPr>
        <w:tab/>
      </w:r>
      <w:r w:rsidR="00F410CB">
        <w:rPr>
          <w:sz w:val="20"/>
        </w:rPr>
        <w:tab/>
      </w:r>
      <w:r w:rsidR="00B14D2E">
        <w:rPr>
          <w:sz w:val="20"/>
        </w:rPr>
        <w:tab/>
      </w:r>
      <w:r w:rsidR="00F410CB">
        <w:rPr>
          <w:sz w:val="20"/>
        </w:rPr>
        <w:t>1</w:t>
      </w:r>
      <w:r w:rsidR="00D44D98">
        <w:rPr>
          <w:sz w:val="20"/>
        </w:rPr>
        <w:t>5</w:t>
      </w:r>
      <w:r w:rsidR="00F410CB">
        <w:rPr>
          <w:sz w:val="20"/>
        </w:rPr>
        <w:t>.000,- Kč</w:t>
      </w:r>
    </w:p>
    <w:p w14:paraId="3B6FAC80" w14:textId="77777777" w:rsidR="00C05954" w:rsidRDefault="005F0017" w:rsidP="0083650A">
      <w:pPr>
        <w:pStyle w:val="Default"/>
        <w:spacing w:line="360" w:lineRule="auto"/>
        <w:ind w:left="720" w:firstLine="720"/>
        <w:jc w:val="both"/>
        <w:rPr>
          <w:sz w:val="20"/>
        </w:rPr>
      </w:pPr>
      <w:r>
        <w:rPr>
          <w:rFonts w:hint="eastAsia"/>
          <w:sz w:val="20"/>
        </w:rPr>
        <w:t>za</w:t>
      </w:r>
      <w:r>
        <w:rPr>
          <w:sz w:val="20"/>
        </w:rPr>
        <w:t xml:space="preserve"> parkovací místo a kalendářní rok.</w:t>
      </w:r>
    </w:p>
    <w:p w14:paraId="463980F8" w14:textId="77777777" w:rsidR="007B7B82" w:rsidRPr="0083650A" w:rsidRDefault="00C05954" w:rsidP="0083650A">
      <w:pPr>
        <w:pStyle w:val="Default"/>
        <w:numPr>
          <w:ilvl w:val="0"/>
          <w:numId w:val="30"/>
        </w:numPr>
        <w:spacing w:line="360" w:lineRule="auto"/>
        <w:jc w:val="both"/>
        <w:rPr>
          <w:sz w:val="20"/>
        </w:rPr>
      </w:pPr>
      <w:r w:rsidRPr="0083650A">
        <w:rPr>
          <w:rFonts w:ascii="Times New Roman" w:hAnsi="Times New Roman" w:cs="Times New Roman"/>
          <w:bCs/>
          <w:iCs/>
          <w:color w:val="auto"/>
          <w:sz w:val="20"/>
          <w:szCs w:val="20"/>
        </w:rPr>
        <w:t>Volbu placení poplatku paušální částkou včetně výběru varianty paušální částky sdělí poplatník správci poplatku v rámci ohlášení dle čl. 4 odst. 2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.</w:t>
      </w:r>
    </w:p>
    <w:p w14:paraId="27157519" w14:textId="77777777" w:rsidR="000F10B9" w:rsidRDefault="000F10B9">
      <w:pPr>
        <w:pStyle w:val="Pa38"/>
        <w:spacing w:before="20" w:after="40"/>
        <w:jc w:val="center"/>
        <w:rPr>
          <w:b/>
          <w:sz w:val="20"/>
        </w:rPr>
      </w:pPr>
      <w:r>
        <w:rPr>
          <w:b/>
          <w:sz w:val="20"/>
        </w:rPr>
        <w:t>Čl. 6</w:t>
      </w:r>
    </w:p>
    <w:p w14:paraId="7D3A1319" w14:textId="77777777" w:rsidR="000F10B9" w:rsidRPr="000F10B9" w:rsidRDefault="005D5957" w:rsidP="000F10B9">
      <w:pPr>
        <w:pStyle w:val="Nzvylnk"/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</w:pPr>
      <w:r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Splatnost</w:t>
      </w:r>
      <w:r w:rsidR="000F10B9" w:rsidRPr="000F10B9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 xml:space="preserve"> poplatku</w:t>
      </w:r>
    </w:p>
    <w:p w14:paraId="37FBB02D" w14:textId="77777777" w:rsidR="00B92591" w:rsidRPr="00B92591" w:rsidRDefault="00B92591" w:rsidP="00B92591">
      <w:pPr>
        <w:pStyle w:val="Default"/>
        <w:numPr>
          <w:ilvl w:val="0"/>
          <w:numId w:val="32"/>
        </w:numPr>
        <w:spacing w:line="360" w:lineRule="auto"/>
        <w:jc w:val="both"/>
        <w:rPr>
          <w:sz w:val="20"/>
        </w:rPr>
      </w:pPr>
      <w:r w:rsidRPr="00B92591">
        <w:rPr>
          <w:sz w:val="20"/>
        </w:rPr>
        <w:t>Poplatek ve stanovené výši je splatný:</w:t>
      </w:r>
    </w:p>
    <w:p w14:paraId="4DA27F32" w14:textId="77777777" w:rsidR="00B92591" w:rsidRPr="00386B15" w:rsidRDefault="00B92591" w:rsidP="00B92591">
      <w:pPr>
        <w:pStyle w:val="Default"/>
        <w:numPr>
          <w:ilvl w:val="1"/>
          <w:numId w:val="32"/>
        </w:numPr>
        <w:spacing w:line="360" w:lineRule="auto"/>
        <w:jc w:val="both"/>
        <w:rPr>
          <w:sz w:val="20"/>
        </w:rPr>
      </w:pPr>
      <w:r w:rsidRPr="00B92591">
        <w:rPr>
          <w:sz w:val="20"/>
        </w:rPr>
        <w:t xml:space="preserve">při užívání veřejného prostranství po </w:t>
      </w:r>
      <w:r w:rsidRPr="00386B15">
        <w:rPr>
          <w:sz w:val="20"/>
        </w:rPr>
        <w:t>dobu kratší 5 dnů nejpozději v den zahájení užívání veřejného prostranství,</w:t>
      </w:r>
    </w:p>
    <w:p w14:paraId="6DF67AA0" w14:textId="77777777" w:rsidR="00B92591" w:rsidRPr="00B92591" w:rsidRDefault="00B92591" w:rsidP="00B92591">
      <w:pPr>
        <w:pStyle w:val="Default"/>
        <w:numPr>
          <w:ilvl w:val="1"/>
          <w:numId w:val="32"/>
        </w:numPr>
        <w:spacing w:line="360" w:lineRule="auto"/>
        <w:jc w:val="both"/>
        <w:rPr>
          <w:sz w:val="20"/>
        </w:rPr>
      </w:pPr>
      <w:r w:rsidRPr="00386B15">
        <w:rPr>
          <w:sz w:val="20"/>
        </w:rPr>
        <w:t>při užívání veřejného prostranství po dobu 5 dnů nebo</w:t>
      </w:r>
      <w:r w:rsidRPr="00B92591">
        <w:rPr>
          <w:sz w:val="20"/>
        </w:rPr>
        <w:t xml:space="preserve"> delší nejpozději do </w:t>
      </w:r>
      <w:r w:rsidR="00386B15">
        <w:rPr>
          <w:sz w:val="20"/>
        </w:rPr>
        <w:t>5</w:t>
      </w:r>
      <w:r w:rsidRPr="00B92591">
        <w:rPr>
          <w:sz w:val="20"/>
        </w:rPr>
        <w:t xml:space="preserve"> dnů od </w:t>
      </w:r>
      <w:r w:rsidR="0011279E">
        <w:rPr>
          <w:sz w:val="20"/>
        </w:rPr>
        <w:t>posledního dne</w:t>
      </w:r>
      <w:r w:rsidR="0011279E" w:rsidRPr="00B92591">
        <w:rPr>
          <w:sz w:val="20"/>
        </w:rPr>
        <w:t xml:space="preserve"> </w:t>
      </w:r>
      <w:r w:rsidRPr="00B92591">
        <w:rPr>
          <w:sz w:val="20"/>
        </w:rPr>
        <w:t>užívání veřejného prostranství.</w:t>
      </w:r>
    </w:p>
    <w:p w14:paraId="23CB47AF" w14:textId="77777777" w:rsidR="00B92591" w:rsidRPr="00B92591" w:rsidRDefault="00B92591" w:rsidP="00B92591">
      <w:pPr>
        <w:pStyle w:val="Default"/>
        <w:numPr>
          <w:ilvl w:val="0"/>
          <w:numId w:val="32"/>
        </w:numPr>
        <w:spacing w:line="360" w:lineRule="auto"/>
        <w:jc w:val="both"/>
        <w:rPr>
          <w:sz w:val="20"/>
        </w:rPr>
      </w:pPr>
      <w:r w:rsidRPr="00B92591">
        <w:rPr>
          <w:sz w:val="20"/>
        </w:rPr>
        <w:t>P</w:t>
      </w:r>
      <w:r w:rsidR="0011279E">
        <w:rPr>
          <w:sz w:val="20"/>
        </w:rPr>
        <w:t xml:space="preserve">oplatek stanovený paušální částkou za měsíc je splatný nejpozději </w:t>
      </w:r>
      <w:r w:rsidRPr="00B92591">
        <w:rPr>
          <w:sz w:val="20"/>
        </w:rPr>
        <w:t xml:space="preserve">do </w:t>
      </w:r>
      <w:r w:rsidR="0011279E">
        <w:rPr>
          <w:sz w:val="20"/>
        </w:rPr>
        <w:t>1</w:t>
      </w:r>
      <w:r w:rsidR="00386B15">
        <w:rPr>
          <w:sz w:val="20"/>
        </w:rPr>
        <w:t>5</w:t>
      </w:r>
      <w:r w:rsidR="0011279E">
        <w:rPr>
          <w:sz w:val="20"/>
        </w:rPr>
        <w:t xml:space="preserve">. dne měsíce, za který se poplatek platí. Poplatek stanovený paušální částkou za rok je splatný nejpozději </w:t>
      </w:r>
      <w:r w:rsidR="0011279E" w:rsidRPr="00B92591">
        <w:rPr>
          <w:sz w:val="20"/>
        </w:rPr>
        <w:t xml:space="preserve">do </w:t>
      </w:r>
      <w:r w:rsidR="0011279E">
        <w:rPr>
          <w:sz w:val="20"/>
        </w:rPr>
        <w:t>15. dne prvního kalendářního měsíce roku, za který se poplatek platí.</w:t>
      </w:r>
    </w:p>
    <w:p w14:paraId="4889CC48" w14:textId="77777777" w:rsidR="000F10B9" w:rsidRPr="009425F4" w:rsidRDefault="00B92591" w:rsidP="009425F4">
      <w:pPr>
        <w:pStyle w:val="Default"/>
        <w:numPr>
          <w:ilvl w:val="0"/>
          <w:numId w:val="32"/>
        </w:numPr>
        <w:spacing w:line="360" w:lineRule="auto"/>
        <w:jc w:val="both"/>
        <w:rPr>
          <w:b/>
          <w:sz w:val="20"/>
        </w:rPr>
      </w:pPr>
      <w:r w:rsidRPr="00B92591">
        <w:rPr>
          <w:sz w:val="20"/>
        </w:rPr>
        <w:t>Připadne-li konec lhůty splatnosti na sobotu, neděli nebo státem uznaný svátek, je dnem, ve kterém je poplatník povinen svoji povinnost splnit, nejblíže následující pracovní den.</w:t>
      </w:r>
    </w:p>
    <w:p w14:paraId="696EB979" w14:textId="77777777" w:rsidR="000F10B9" w:rsidRDefault="000F10B9" w:rsidP="000F10B9">
      <w:pPr>
        <w:pStyle w:val="Pa38"/>
        <w:spacing w:before="20" w:after="40"/>
        <w:jc w:val="center"/>
        <w:rPr>
          <w:b/>
          <w:sz w:val="20"/>
        </w:rPr>
      </w:pPr>
      <w:r>
        <w:rPr>
          <w:b/>
          <w:sz w:val="20"/>
        </w:rPr>
        <w:t>Čl. 7</w:t>
      </w:r>
    </w:p>
    <w:p w14:paraId="57CE568F" w14:textId="77777777" w:rsidR="008F4521" w:rsidRPr="000F10B9" w:rsidRDefault="00B92591" w:rsidP="000F10B9">
      <w:pPr>
        <w:pStyle w:val="Pa38"/>
        <w:spacing w:before="20" w:after="40"/>
        <w:jc w:val="center"/>
        <w:rPr>
          <w:b/>
          <w:sz w:val="20"/>
        </w:rPr>
      </w:pPr>
      <w:r>
        <w:rPr>
          <w:b/>
          <w:sz w:val="20"/>
        </w:rPr>
        <w:t>Osvobození</w:t>
      </w:r>
      <w:r w:rsidR="005D4DE8">
        <w:rPr>
          <w:b/>
          <w:sz w:val="20"/>
        </w:rPr>
        <w:t xml:space="preserve"> </w:t>
      </w:r>
    </w:p>
    <w:p w14:paraId="21DB929A" w14:textId="77777777" w:rsidR="005D4DE8" w:rsidRPr="005D4DE8" w:rsidRDefault="005D4DE8" w:rsidP="005D4DE8">
      <w:pPr>
        <w:pStyle w:val="Default"/>
        <w:numPr>
          <w:ilvl w:val="0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>Od poplatku jsou osvobozeny:</w:t>
      </w:r>
    </w:p>
    <w:p w14:paraId="7F93F1F0" w14:textId="77777777" w:rsidR="005D4DE8" w:rsidRDefault="005D4DE8" w:rsidP="005D4DE8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 xml:space="preserve">akce pořádané na veřejném prostranství, jejichž </w:t>
      </w:r>
      <w:r w:rsidR="00D72ACC">
        <w:rPr>
          <w:sz w:val="20"/>
        </w:rPr>
        <w:t xml:space="preserve">celý </w:t>
      </w:r>
      <w:r w:rsidR="005824CF" w:rsidRPr="005D4DE8">
        <w:rPr>
          <w:sz w:val="20"/>
        </w:rPr>
        <w:t>výtěžek</w:t>
      </w:r>
      <w:r w:rsidRPr="005D4DE8">
        <w:rPr>
          <w:sz w:val="20"/>
        </w:rPr>
        <w:t xml:space="preserve"> je </w:t>
      </w:r>
      <w:r w:rsidR="00C74A24">
        <w:rPr>
          <w:sz w:val="20"/>
        </w:rPr>
        <w:t>odveden</w:t>
      </w:r>
      <w:r w:rsidR="00C74A24" w:rsidRPr="005D4DE8">
        <w:rPr>
          <w:sz w:val="20"/>
        </w:rPr>
        <w:t xml:space="preserve"> </w:t>
      </w:r>
      <w:r w:rsidRPr="005D4DE8">
        <w:rPr>
          <w:sz w:val="20"/>
        </w:rPr>
        <w:t>na charitativní a veřejně</w:t>
      </w:r>
      <w:r w:rsidRPr="005824CF">
        <w:rPr>
          <w:sz w:val="20"/>
        </w:rPr>
        <w:t xml:space="preserve"> </w:t>
      </w:r>
      <w:r w:rsidRPr="005D4DE8">
        <w:rPr>
          <w:sz w:val="20"/>
        </w:rPr>
        <w:t xml:space="preserve">prospěšné </w:t>
      </w:r>
      <w:r w:rsidRPr="00A70B69">
        <w:rPr>
          <w:sz w:val="20"/>
        </w:rPr>
        <w:t>účely,</w:t>
      </w:r>
    </w:p>
    <w:p w14:paraId="69B575C7" w14:textId="77777777" w:rsidR="005D4DE8" w:rsidRPr="00A70B69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D72ACC">
        <w:rPr>
          <w:sz w:val="20"/>
        </w:rPr>
        <w:t>za vyhrazení trvalého parkovacího místa pro osobu, která je držitelem průkazu ZTP nebo ZTP/P</w:t>
      </w:r>
      <w:r>
        <w:rPr>
          <w:sz w:val="20"/>
        </w:rPr>
        <w:t>.</w:t>
      </w:r>
      <w:r w:rsidR="00862BF4">
        <w:rPr>
          <w:sz w:val="20"/>
        </w:rPr>
        <w:t xml:space="preserve"> </w:t>
      </w:r>
    </w:p>
    <w:p w14:paraId="71743B37" w14:textId="77777777" w:rsidR="00D72ACC" w:rsidRDefault="005D4DE8" w:rsidP="005D4DE8">
      <w:pPr>
        <w:pStyle w:val="Default"/>
        <w:numPr>
          <w:ilvl w:val="0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 xml:space="preserve">Od poplatku </w:t>
      </w:r>
      <w:r w:rsidR="00D72ACC">
        <w:rPr>
          <w:sz w:val="20"/>
        </w:rPr>
        <w:t xml:space="preserve">je dále osvobozeno: </w:t>
      </w:r>
    </w:p>
    <w:p w14:paraId="1310AAB7" w14:textId="77777777" w:rsidR="009425F4" w:rsidRDefault="009425F4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lastRenderedPageBreak/>
        <w:t>zvláštní užívání veřejného prostranství</w:t>
      </w:r>
      <w:r>
        <w:rPr>
          <w:sz w:val="20"/>
        </w:rPr>
        <w:t xml:space="preserve"> vlastníkem pozemku</w:t>
      </w:r>
      <w:r w:rsidR="00DF57C1">
        <w:rPr>
          <w:sz w:val="20"/>
        </w:rPr>
        <w:t xml:space="preserve"> veřejného prostranství</w:t>
      </w:r>
      <w:r>
        <w:rPr>
          <w:sz w:val="20"/>
        </w:rPr>
        <w:t>,</w:t>
      </w:r>
    </w:p>
    <w:p w14:paraId="0171DA2B" w14:textId="77777777" w:rsidR="00D72ACC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 xml:space="preserve">zvláštní užívání veřejného prostranství </w:t>
      </w:r>
      <w:r>
        <w:rPr>
          <w:sz w:val="20"/>
        </w:rPr>
        <w:t xml:space="preserve">pro </w:t>
      </w:r>
      <w:r w:rsidRPr="005D4DE8">
        <w:rPr>
          <w:sz w:val="20"/>
        </w:rPr>
        <w:t xml:space="preserve">akce </w:t>
      </w:r>
      <w:r w:rsidRPr="00A70B69">
        <w:rPr>
          <w:sz w:val="20"/>
        </w:rPr>
        <w:t>financované zcela nebo částečně z</w:t>
      </w:r>
      <w:r w:rsidRPr="005D4DE8">
        <w:rPr>
          <w:sz w:val="20"/>
        </w:rPr>
        <w:t xml:space="preserve"> rozpočtu </w:t>
      </w:r>
      <w:r w:rsidRPr="005824CF">
        <w:rPr>
          <w:sz w:val="20"/>
        </w:rPr>
        <w:t>obce Vysoký Újezd</w:t>
      </w:r>
      <w:r w:rsidRPr="005D4DE8">
        <w:rPr>
          <w:sz w:val="20"/>
        </w:rPr>
        <w:t>,</w:t>
      </w:r>
    </w:p>
    <w:p w14:paraId="07CB5321" w14:textId="77777777" w:rsidR="00D72ACC" w:rsidRPr="005D4DE8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 xml:space="preserve">zvláštní užívání veřejného prostranství příspěvkovými organizacemi zřízenými </w:t>
      </w:r>
      <w:r w:rsidRPr="005824CF">
        <w:rPr>
          <w:sz w:val="20"/>
        </w:rPr>
        <w:t>obcí Vysoký Újezd</w:t>
      </w:r>
      <w:r w:rsidRPr="005D4DE8">
        <w:rPr>
          <w:sz w:val="20"/>
        </w:rPr>
        <w:t>,</w:t>
      </w:r>
    </w:p>
    <w:p w14:paraId="1E40D29D" w14:textId="77777777" w:rsidR="00D72ACC" w:rsidRPr="005D4DE8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A70B69">
        <w:rPr>
          <w:sz w:val="20"/>
        </w:rPr>
        <w:t>zvláštní užívání veřejného prostranství, které je předmětem úplatného soukromoprávního vztahu mezi uživatelem a vlastníkem pozemku veřejného prostranství.</w:t>
      </w:r>
    </w:p>
    <w:p w14:paraId="37DC83CD" w14:textId="77777777" w:rsidR="005D4DE8" w:rsidRPr="005D4DE8" w:rsidRDefault="005D4DE8" w:rsidP="005D4DE8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>vyhrazení trvalého parkovacího místa pro vozidla Policie ČR a městské policie,</w:t>
      </w:r>
    </w:p>
    <w:p w14:paraId="21B9187E" w14:textId="77777777" w:rsidR="00D72ACC" w:rsidRPr="005824CF" w:rsidRDefault="005D4DE8" w:rsidP="005D4DE8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5D4DE8">
        <w:rPr>
          <w:sz w:val="20"/>
        </w:rPr>
        <w:t>vyhrazení trvalého parkovacího místa pro vozidla zdravotnictví a pro soukromá vozidla</w:t>
      </w:r>
      <w:r w:rsidRPr="005824CF">
        <w:rPr>
          <w:sz w:val="20"/>
        </w:rPr>
        <w:t xml:space="preserve"> </w:t>
      </w:r>
      <w:r w:rsidRPr="005D4DE8">
        <w:rPr>
          <w:sz w:val="20"/>
        </w:rPr>
        <w:t>zdravotníků před zdravotním zařízením, v nichž provozují svou praxi, jsou-li tato vozidla</w:t>
      </w:r>
      <w:r w:rsidRPr="005824CF">
        <w:rPr>
          <w:sz w:val="20"/>
        </w:rPr>
        <w:t xml:space="preserve"> užívána pro </w:t>
      </w:r>
      <w:r w:rsidR="005824CF" w:rsidRPr="005824CF">
        <w:rPr>
          <w:sz w:val="20"/>
        </w:rPr>
        <w:t>výkon</w:t>
      </w:r>
      <w:r w:rsidRPr="005824CF">
        <w:rPr>
          <w:sz w:val="20"/>
        </w:rPr>
        <w:t xml:space="preserve"> zdravotní služby</w:t>
      </w:r>
      <w:r w:rsidR="00D72ACC">
        <w:rPr>
          <w:sz w:val="20"/>
        </w:rPr>
        <w:t>,</w:t>
      </w:r>
    </w:p>
    <w:p w14:paraId="54ED60CE" w14:textId="77777777" w:rsidR="005D4DE8" w:rsidRPr="00C81316" w:rsidRDefault="005D4DE8" w:rsidP="00C81316">
      <w:pPr>
        <w:pStyle w:val="Default"/>
        <w:numPr>
          <w:ilvl w:val="1"/>
          <w:numId w:val="34"/>
        </w:numPr>
        <w:spacing w:line="360" w:lineRule="auto"/>
        <w:jc w:val="both"/>
        <w:rPr>
          <w:sz w:val="20"/>
        </w:rPr>
      </w:pPr>
      <w:r w:rsidRPr="00C81316">
        <w:rPr>
          <w:sz w:val="20"/>
        </w:rPr>
        <w:t>umístění skládky na dobu kratší než 24 hodin v jednom měsíci.</w:t>
      </w:r>
    </w:p>
    <w:p w14:paraId="31A7A02B" w14:textId="77777777" w:rsidR="00970F6D" w:rsidRDefault="008B5DA4" w:rsidP="00970F6D">
      <w:pPr>
        <w:pStyle w:val="Default"/>
        <w:numPr>
          <w:ilvl w:val="0"/>
          <w:numId w:val="34"/>
        </w:numPr>
        <w:spacing w:line="360" w:lineRule="auto"/>
        <w:jc w:val="both"/>
        <w:rPr>
          <w:sz w:val="20"/>
        </w:rPr>
      </w:pPr>
      <w:r w:rsidRPr="00970F6D">
        <w:rPr>
          <w:sz w:val="20"/>
        </w:rPr>
        <w:t xml:space="preserve">Údaj rozhodný pro osvobození dle tohoto článku je poplatník povinen ohlásit </w:t>
      </w:r>
      <w:r w:rsidR="005824CF" w:rsidRPr="00970F6D">
        <w:rPr>
          <w:sz w:val="20"/>
        </w:rPr>
        <w:t xml:space="preserve">nejpozději v den zahájení zvláštního užívání veřejného prostranství nebo </w:t>
      </w:r>
      <w:r w:rsidRPr="00970F6D">
        <w:rPr>
          <w:sz w:val="20"/>
        </w:rPr>
        <w:t xml:space="preserve">ve lhůtě </w:t>
      </w:r>
      <w:r w:rsidR="009A3AA6" w:rsidRPr="00970F6D">
        <w:rPr>
          <w:sz w:val="20"/>
        </w:rPr>
        <w:t>15 dnů</w:t>
      </w:r>
      <w:r w:rsidR="005824CF" w:rsidRPr="00970F6D">
        <w:rPr>
          <w:sz w:val="20"/>
        </w:rPr>
        <w:t xml:space="preserve"> od jeho vzniku</w:t>
      </w:r>
      <w:r w:rsidR="009A3AA6" w:rsidRPr="00970F6D">
        <w:rPr>
          <w:sz w:val="20"/>
        </w:rPr>
        <w:t>.</w:t>
      </w:r>
    </w:p>
    <w:p w14:paraId="06B86997" w14:textId="77777777" w:rsidR="005E001C" w:rsidRPr="00970F6D" w:rsidRDefault="008B5DA4" w:rsidP="00A70B69">
      <w:pPr>
        <w:pStyle w:val="Default"/>
        <w:numPr>
          <w:ilvl w:val="0"/>
          <w:numId w:val="34"/>
        </w:numPr>
        <w:spacing w:line="360" w:lineRule="auto"/>
        <w:ind w:left="714" w:hanging="357"/>
        <w:jc w:val="both"/>
        <w:rPr>
          <w:sz w:val="20"/>
        </w:rPr>
      </w:pPr>
      <w:r w:rsidRPr="00970F6D">
        <w:rPr>
          <w:sz w:val="20"/>
        </w:rPr>
        <w:t>V případě, že poplatník nesplní povinnost ohlásit údaj rozhodný pro osvobození ve lhůtách stanovených touto vyhláškou nebo zákonem, nárok na osvobození zaniká.</w:t>
      </w:r>
      <w:r w:rsidRPr="008B5DA4">
        <w:rPr>
          <w:vertAlign w:val="superscript"/>
        </w:rPr>
        <w:footnoteReference w:id="7"/>
      </w:r>
    </w:p>
    <w:p w14:paraId="6BB782C5" w14:textId="77777777" w:rsidR="000F10B9" w:rsidRDefault="000F10B9" w:rsidP="000F10B9">
      <w:pPr>
        <w:pStyle w:val="Default"/>
        <w:spacing w:line="1" w:lineRule="atLeast"/>
        <w:jc w:val="both"/>
        <w:rPr>
          <w:b/>
          <w:sz w:val="20"/>
        </w:rPr>
      </w:pPr>
    </w:p>
    <w:p w14:paraId="7A20B341" w14:textId="77777777" w:rsidR="008B5DA4" w:rsidRDefault="008F4521" w:rsidP="008B5DA4">
      <w:pPr>
        <w:pStyle w:val="Default"/>
        <w:spacing w:line="1" w:lineRule="atLeast"/>
        <w:jc w:val="center"/>
        <w:rPr>
          <w:b/>
          <w:sz w:val="20"/>
        </w:rPr>
      </w:pPr>
      <w:r>
        <w:rPr>
          <w:b/>
          <w:sz w:val="20"/>
        </w:rPr>
        <w:t xml:space="preserve">Čl. </w:t>
      </w:r>
      <w:r w:rsidR="000F10B9">
        <w:rPr>
          <w:b/>
          <w:sz w:val="20"/>
        </w:rPr>
        <w:t>8</w:t>
      </w:r>
    </w:p>
    <w:p w14:paraId="5389AFD6" w14:textId="77777777" w:rsidR="008F4521" w:rsidRDefault="008F4521" w:rsidP="008B5DA4">
      <w:pPr>
        <w:pStyle w:val="Default"/>
        <w:spacing w:line="1" w:lineRule="atLeast"/>
        <w:jc w:val="center"/>
      </w:pPr>
      <w:r>
        <w:rPr>
          <w:b/>
          <w:sz w:val="20"/>
        </w:rPr>
        <w:t xml:space="preserve">Navýšení poplatku </w:t>
      </w:r>
    </w:p>
    <w:p w14:paraId="642B7BE2" w14:textId="77777777" w:rsidR="008F4521" w:rsidRPr="00861483" w:rsidRDefault="008B5DA4" w:rsidP="00861483">
      <w:pPr>
        <w:numPr>
          <w:ilvl w:val="0"/>
          <w:numId w:val="9"/>
        </w:numPr>
        <w:spacing w:line="312" w:lineRule="auto"/>
        <w:jc w:val="both"/>
        <w:rPr>
          <w:rStyle w:val="A10"/>
          <w:rFonts w:hint="eastAsia"/>
          <w:kern w:val="0"/>
        </w:rPr>
      </w:pPr>
      <w:r w:rsidRPr="008B5DA4">
        <w:rPr>
          <w:rStyle w:val="A10"/>
          <w:kern w:val="0"/>
        </w:rPr>
        <w:t>Nebudou-li poplatky zaplaceny poplatníkem včas nebo ve správné výši, vyměří mu správce poplatku poplatek platebním výměrem nebo hromadným předpisným seznamem.</w:t>
      </w:r>
      <w:r w:rsidRPr="008B5DA4">
        <w:rPr>
          <w:rStyle w:val="A10"/>
          <w:kern w:val="0"/>
          <w:vertAlign w:val="superscript"/>
        </w:rPr>
        <w:footnoteReference w:id="8"/>
      </w:r>
    </w:p>
    <w:p w14:paraId="733C7074" w14:textId="77777777" w:rsidR="008F4521" w:rsidRPr="0083650A" w:rsidRDefault="008F4521" w:rsidP="0083650A">
      <w:pPr>
        <w:numPr>
          <w:ilvl w:val="0"/>
          <w:numId w:val="9"/>
        </w:numPr>
        <w:spacing w:line="360" w:lineRule="auto"/>
        <w:jc w:val="both"/>
        <w:rPr>
          <w:rFonts w:hint="eastAsia"/>
          <w:i/>
          <w:sz w:val="20"/>
        </w:rPr>
      </w:pPr>
      <w:r w:rsidRPr="00861483">
        <w:rPr>
          <w:rStyle w:val="A10"/>
          <w:kern w:val="0"/>
        </w:rPr>
        <w:t xml:space="preserve">Včas nezaplacené nebo neodvedené poplatky nebo část těchto poplatků může </w:t>
      </w:r>
      <w:r w:rsidR="00861483" w:rsidRPr="00861483">
        <w:rPr>
          <w:rStyle w:val="A10"/>
          <w:kern w:val="0"/>
        </w:rPr>
        <w:t>správce poplatku</w:t>
      </w:r>
      <w:r w:rsidRPr="00861483">
        <w:rPr>
          <w:rStyle w:val="A10"/>
          <w:kern w:val="0"/>
        </w:rPr>
        <w:t xml:space="preserve"> zvýšit až na trojnásobek; toto zvýšení je příslušenstvím poplatku</w:t>
      </w:r>
      <w:r w:rsidR="00861483" w:rsidRPr="00861483">
        <w:rPr>
          <w:rStyle w:val="A10"/>
          <w:kern w:val="0"/>
        </w:rPr>
        <w:t xml:space="preserve"> sledujícím jeho </w:t>
      </w:r>
      <w:r w:rsidR="00861483" w:rsidRPr="0083650A">
        <w:rPr>
          <w:rStyle w:val="A10"/>
          <w:kern w:val="0"/>
        </w:rPr>
        <w:t>osud</w:t>
      </w:r>
      <w:r w:rsidRPr="0083650A">
        <w:rPr>
          <w:rStyle w:val="A10"/>
          <w:kern w:val="0"/>
        </w:rPr>
        <w:t>.</w:t>
      </w:r>
      <w:r w:rsidRPr="0083650A">
        <w:rPr>
          <w:rStyle w:val="A10"/>
          <w:kern w:val="0"/>
          <w:vertAlign w:val="superscript"/>
        </w:rPr>
        <w:footnoteReference w:id="9"/>
      </w:r>
    </w:p>
    <w:p w14:paraId="70B30CCC" w14:textId="77777777" w:rsidR="008F4521" w:rsidRDefault="008F4521">
      <w:pPr>
        <w:pStyle w:val="Pa37"/>
        <w:spacing w:before="160"/>
        <w:jc w:val="center"/>
      </w:pPr>
      <w:r w:rsidRPr="0083650A">
        <w:rPr>
          <w:b/>
          <w:sz w:val="20"/>
        </w:rPr>
        <w:t xml:space="preserve">Čl. </w:t>
      </w:r>
      <w:r w:rsidR="003E3B68" w:rsidRPr="0083650A">
        <w:rPr>
          <w:b/>
          <w:sz w:val="20"/>
        </w:rPr>
        <w:t>9</w:t>
      </w:r>
    </w:p>
    <w:p w14:paraId="1FFED54A" w14:textId="77777777" w:rsidR="008F4521" w:rsidRDefault="00861483">
      <w:pPr>
        <w:pStyle w:val="Pa38"/>
        <w:spacing w:before="20" w:after="40"/>
        <w:jc w:val="center"/>
      </w:pPr>
      <w:r>
        <w:rPr>
          <w:b/>
          <w:sz w:val="20"/>
        </w:rPr>
        <w:t>Z</w:t>
      </w:r>
      <w:r w:rsidR="008F4521">
        <w:rPr>
          <w:b/>
          <w:sz w:val="20"/>
        </w:rPr>
        <w:t>rušovací ustanovení</w:t>
      </w:r>
    </w:p>
    <w:p w14:paraId="0E493002" w14:textId="77777777" w:rsidR="008F4521" w:rsidRPr="00861483" w:rsidRDefault="008F4521" w:rsidP="008B5DA4">
      <w:pPr>
        <w:pStyle w:val="Pa4"/>
        <w:spacing w:before="40" w:after="40" w:line="360" w:lineRule="auto"/>
        <w:ind w:left="397"/>
        <w:jc w:val="both"/>
        <w:rPr>
          <w:sz w:val="20"/>
        </w:rPr>
      </w:pPr>
      <w:r>
        <w:rPr>
          <w:sz w:val="20"/>
        </w:rPr>
        <w:t xml:space="preserve">Zrušuje se obecně závazná vyhláška č. </w:t>
      </w:r>
      <w:r w:rsidR="008B5DA4">
        <w:rPr>
          <w:sz w:val="20"/>
        </w:rPr>
        <w:t>4</w:t>
      </w:r>
      <w:r>
        <w:rPr>
          <w:sz w:val="20"/>
        </w:rPr>
        <w:t>/201</w:t>
      </w:r>
      <w:r w:rsidR="008B5DA4">
        <w:rPr>
          <w:sz w:val="20"/>
        </w:rPr>
        <w:t>1</w:t>
      </w:r>
      <w:r>
        <w:rPr>
          <w:sz w:val="20"/>
        </w:rPr>
        <w:t xml:space="preserve"> o místním poplatku </w:t>
      </w:r>
      <w:r w:rsidR="008B5DA4">
        <w:rPr>
          <w:sz w:val="20"/>
        </w:rPr>
        <w:t>za užívání veřejného prostranství ze dne 27. ledna 2011</w:t>
      </w:r>
      <w:r>
        <w:rPr>
          <w:sz w:val="20"/>
        </w:rPr>
        <w:t>.</w:t>
      </w:r>
    </w:p>
    <w:p w14:paraId="28C37214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1</w:t>
      </w:r>
      <w:r w:rsidR="003E3B68">
        <w:rPr>
          <w:b/>
          <w:sz w:val="20"/>
        </w:rPr>
        <w:t>0</w:t>
      </w:r>
    </w:p>
    <w:p w14:paraId="6CFC2954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 xml:space="preserve">Účinnost </w:t>
      </w:r>
    </w:p>
    <w:p w14:paraId="0EF6E1D7" w14:textId="0B20651C" w:rsidR="008F4521" w:rsidRDefault="008F4521" w:rsidP="00ED1924">
      <w:pPr>
        <w:pStyle w:val="Pa4"/>
        <w:spacing w:before="40" w:after="40" w:line="360" w:lineRule="auto"/>
        <w:ind w:left="397"/>
        <w:jc w:val="both"/>
        <w:rPr>
          <w:rFonts w:hint="eastAsia"/>
        </w:rPr>
      </w:pPr>
      <w:r w:rsidRPr="00861483">
        <w:rPr>
          <w:sz w:val="20"/>
        </w:rPr>
        <w:t xml:space="preserve">Tato vyhláška nabývá účinnosti </w:t>
      </w:r>
      <w:r w:rsidR="00F84A98">
        <w:rPr>
          <w:sz w:val="20"/>
        </w:rPr>
        <w:t xml:space="preserve">dnem </w:t>
      </w:r>
      <w:r w:rsidR="002E29C1">
        <w:rPr>
          <w:sz w:val="20"/>
        </w:rPr>
        <w:t xml:space="preserve">1. 10. </w:t>
      </w:r>
      <w:r w:rsidR="00F84A98">
        <w:rPr>
          <w:sz w:val="20"/>
        </w:rPr>
        <w:t>202</w:t>
      </w:r>
      <w:r w:rsidR="002E29C1">
        <w:rPr>
          <w:sz w:val="20"/>
        </w:rPr>
        <w:t>1</w:t>
      </w:r>
      <w:r w:rsidRPr="00861483">
        <w:rPr>
          <w:sz w:val="20"/>
        </w:rPr>
        <w:t>.</w:t>
      </w:r>
    </w:p>
    <w:p w14:paraId="30429D1E" w14:textId="0815F5CA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i/>
          <w:sz w:val="20"/>
        </w:rPr>
        <w:tab/>
      </w:r>
      <w:r>
        <w:rPr>
          <w:sz w:val="20"/>
        </w:rPr>
        <w:t xml:space="preserve"> </w:t>
      </w:r>
    </w:p>
    <w:p w14:paraId="06926197" w14:textId="74D38DF4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</w:r>
      <w:r w:rsidRPr="00ED1924">
        <w:rPr>
          <w:b/>
          <w:bCs/>
          <w:sz w:val="20"/>
        </w:rPr>
        <w:t>Miloslav Kratochvíl</w:t>
      </w:r>
      <w:r w:rsidR="00ED1924">
        <w:rPr>
          <w:sz w:val="20"/>
        </w:rPr>
        <w:t>, v.r.</w:t>
      </w:r>
      <w:r>
        <w:rPr>
          <w:sz w:val="20"/>
        </w:rPr>
        <w:t xml:space="preserve"> </w:t>
      </w:r>
      <w:r>
        <w:rPr>
          <w:sz w:val="20"/>
        </w:rPr>
        <w:tab/>
      </w:r>
      <w:r w:rsidRPr="00ED1924">
        <w:rPr>
          <w:b/>
          <w:bCs/>
          <w:sz w:val="20"/>
        </w:rPr>
        <w:t xml:space="preserve">Ing. Martina </w:t>
      </w:r>
      <w:proofErr w:type="spellStart"/>
      <w:r w:rsidRPr="00ED1924">
        <w:rPr>
          <w:b/>
          <w:bCs/>
          <w:sz w:val="20"/>
        </w:rPr>
        <w:t>Sionková</w:t>
      </w:r>
      <w:proofErr w:type="spellEnd"/>
      <w:r w:rsidR="00ED1924">
        <w:rPr>
          <w:sz w:val="20"/>
        </w:rPr>
        <w:t>, v.r.</w:t>
      </w:r>
    </w:p>
    <w:p w14:paraId="38B6A197" w14:textId="77777777" w:rsidR="00D72ACC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  <w:t xml:space="preserve">starosta </w:t>
      </w:r>
      <w:r>
        <w:rPr>
          <w:sz w:val="20"/>
        </w:rPr>
        <w:tab/>
        <w:t>místostarostka</w:t>
      </w:r>
    </w:p>
    <w:p w14:paraId="5161FF7C" w14:textId="77777777" w:rsidR="008F4521" w:rsidRDefault="008F4521" w:rsidP="00D72ACC">
      <w:pPr>
        <w:pStyle w:val="Default"/>
        <w:tabs>
          <w:tab w:val="center" w:pos="2179"/>
          <w:tab w:val="center" w:pos="7175"/>
        </w:tabs>
        <w:jc w:val="both"/>
        <w:rPr>
          <w:sz w:val="20"/>
        </w:rPr>
      </w:pPr>
    </w:p>
    <w:p w14:paraId="37932BE3" w14:textId="77777777" w:rsidR="00E01C3D" w:rsidRDefault="00E01C3D" w:rsidP="0083650A">
      <w:pPr>
        <w:tabs>
          <w:tab w:val="left" w:pos="1797"/>
          <w:tab w:val="right" w:leader="dot" w:pos="1980"/>
          <w:tab w:val="right" w:leader="dot" w:pos="3060"/>
        </w:tabs>
        <w:rPr>
          <w:sz w:val="20"/>
        </w:rPr>
      </w:pPr>
    </w:p>
    <w:p w14:paraId="1D7C2B11" w14:textId="103A6A07" w:rsidR="008F4521" w:rsidRPr="0083650A" w:rsidRDefault="008F4521" w:rsidP="0083650A">
      <w:pPr>
        <w:tabs>
          <w:tab w:val="right" w:leader="dot" w:pos="1980"/>
          <w:tab w:val="right" w:leader="dot" w:pos="3060"/>
        </w:tabs>
        <w:rPr>
          <w:sz w:val="20"/>
        </w:rPr>
      </w:pPr>
    </w:p>
    <w:sectPr w:rsidR="008F4521" w:rsidRPr="0083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03D5" w14:textId="77777777" w:rsidR="00E26890" w:rsidRDefault="00E26890">
      <w:pPr>
        <w:rPr>
          <w:rFonts w:hint="eastAsia"/>
        </w:rPr>
      </w:pPr>
      <w:r>
        <w:separator/>
      </w:r>
    </w:p>
  </w:endnote>
  <w:endnote w:type="continuationSeparator" w:id="0">
    <w:p w14:paraId="0519E3C6" w14:textId="77777777" w:rsidR="00E26890" w:rsidRDefault="00E268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yriad Pro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5180" w14:textId="77777777" w:rsidR="0074742A" w:rsidRDefault="0074742A">
    <w:pPr>
      <w:pStyle w:val="Footer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020B" w14:textId="77777777" w:rsidR="008F4521" w:rsidRDefault="008F452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29F1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F6E0" w14:textId="77777777" w:rsidR="00E26890" w:rsidRDefault="00E26890">
      <w:pPr>
        <w:rPr>
          <w:rFonts w:hint="eastAsia"/>
        </w:rPr>
      </w:pPr>
      <w:r>
        <w:separator/>
      </w:r>
    </w:p>
  </w:footnote>
  <w:footnote w:type="continuationSeparator" w:id="0">
    <w:p w14:paraId="28BEC4D2" w14:textId="77777777" w:rsidR="00E26890" w:rsidRDefault="00E26890">
      <w:pPr>
        <w:rPr>
          <w:rFonts w:hint="eastAsia"/>
        </w:rPr>
      </w:pPr>
      <w:r>
        <w:continuationSeparator/>
      </w:r>
    </w:p>
  </w:footnote>
  <w:footnote w:id="1">
    <w:p w14:paraId="6285BB43" w14:textId="77777777" w:rsidR="00EC7927" w:rsidRDefault="00EC7927">
      <w:pPr>
        <w:pStyle w:val="FootnoteText0"/>
      </w:pPr>
      <w:r w:rsidRPr="007E5FFA">
        <w:rPr>
          <w:rFonts w:ascii="Myriad Pro" w:hAnsi="Myriad Pro" w:cs="Myriad Pro" w:hint="eastAsia"/>
          <w:color w:val="000000"/>
          <w:sz w:val="16"/>
        </w:rPr>
        <w:footnoteRef/>
      </w:r>
      <w:r w:rsidRPr="007E5FFA">
        <w:rPr>
          <w:rFonts w:ascii="Myriad Pro" w:hAnsi="Myriad Pro" w:cs="Myriad Pro" w:hint="eastAsia"/>
          <w:color w:val="000000"/>
          <w:sz w:val="16"/>
        </w:rPr>
        <w:t xml:space="preserve"> </w:t>
      </w:r>
      <w:r>
        <w:rPr>
          <w:rFonts w:ascii="Myriad Pro" w:hAnsi="Myriad Pro" w:cs="Myriad Pro"/>
          <w:color w:val="000000"/>
          <w:sz w:val="16"/>
        </w:rPr>
        <w:t>§ 15 odst. 1 zákona o místních poplatcích</w:t>
      </w:r>
    </w:p>
  </w:footnote>
  <w:footnote w:id="2">
    <w:p w14:paraId="3F6DF220" w14:textId="77777777" w:rsidR="00A710EA" w:rsidRPr="002D0857" w:rsidRDefault="00A710EA" w:rsidP="00A710EA">
      <w:pPr>
        <w:pStyle w:val="FootnoteText0"/>
        <w:rPr>
          <w:rFonts w:ascii="Arial" w:hAnsi="Arial" w:cs="Arial"/>
        </w:rPr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4 odst. 1 zákona o místních poplatcích</w:t>
      </w:r>
    </w:p>
  </w:footnote>
  <w:footnote w:id="3">
    <w:p w14:paraId="77EE87F8" w14:textId="77777777" w:rsidR="00A710EA" w:rsidRPr="005D5957" w:rsidRDefault="00A710EA" w:rsidP="00A710EA">
      <w:pPr>
        <w:pStyle w:val="FootnoteText0"/>
        <w:rPr>
          <w:rFonts w:ascii="Myriad Pro" w:hAnsi="Myriad Pro" w:cs="Myriad Pro"/>
          <w:color w:val="000000"/>
          <w:sz w:val="16"/>
        </w:rPr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4 odst. 2 zákona o místních poplatcích</w:t>
      </w:r>
    </w:p>
  </w:footnote>
  <w:footnote w:id="4">
    <w:p w14:paraId="14E326D6" w14:textId="77777777" w:rsidR="00A710EA" w:rsidRPr="005D5957" w:rsidRDefault="00A710EA" w:rsidP="00A710EA">
      <w:pPr>
        <w:pStyle w:val="FootnoteText0"/>
        <w:rPr>
          <w:rFonts w:ascii="Myriad Pro" w:hAnsi="Myriad Pro" w:cs="Myriad Pro"/>
          <w:color w:val="000000"/>
          <w:sz w:val="16"/>
        </w:rPr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14a odst. 2 zákona o místních poplatcích</w:t>
      </w:r>
    </w:p>
  </w:footnote>
  <w:footnote w:id="5">
    <w:p w14:paraId="6955AF64" w14:textId="77777777" w:rsidR="00A710EA" w:rsidRPr="005D5957" w:rsidRDefault="00A710EA" w:rsidP="00A710EA">
      <w:pPr>
        <w:pStyle w:val="FootnoteText0"/>
        <w:rPr>
          <w:rFonts w:ascii="Myriad Pro" w:hAnsi="Myriad Pro" w:cs="Myriad Pro"/>
          <w:color w:val="000000"/>
          <w:sz w:val="16"/>
        </w:rPr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14a odst. 3 zákona o místních poplatcích</w:t>
      </w:r>
    </w:p>
  </w:footnote>
  <w:footnote w:id="6">
    <w:p w14:paraId="17366C64" w14:textId="77777777" w:rsidR="00A710EA" w:rsidRPr="005D5957" w:rsidRDefault="00A710EA" w:rsidP="00A710EA">
      <w:pPr>
        <w:pStyle w:val="FootnoteText0"/>
        <w:rPr>
          <w:rFonts w:ascii="Myriad Pro" w:hAnsi="Myriad Pro" w:cs="Myriad Pro"/>
          <w:color w:val="000000"/>
          <w:sz w:val="16"/>
        </w:rPr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14a odst. 4 zákona o místních poplatcích</w:t>
      </w:r>
    </w:p>
  </w:footnote>
  <w:footnote w:id="7">
    <w:p w14:paraId="1DE902BC" w14:textId="77777777" w:rsidR="008B5DA4" w:rsidRPr="0054071F" w:rsidRDefault="008B5DA4" w:rsidP="008B5DA4">
      <w:pPr>
        <w:pStyle w:val="FootnoteText0"/>
        <w:rPr>
          <w:rFonts w:ascii="Arial" w:hAnsi="Arial" w:cs="Arial"/>
        </w:rPr>
      </w:pPr>
      <w:r w:rsidRPr="0054071F">
        <w:rPr>
          <w:rStyle w:val="FootnoteReference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8B5DA4">
        <w:rPr>
          <w:rFonts w:ascii="Myriad Pro" w:hAnsi="Myriad Pro" w:cs="Myriad Pro"/>
          <w:color w:val="000000"/>
          <w:kern w:val="0"/>
          <w:sz w:val="16"/>
          <w:szCs w:val="24"/>
        </w:rPr>
        <w:t>§ 14a odst. 6 zákona o místních poplatcích</w:t>
      </w:r>
    </w:p>
  </w:footnote>
  <w:footnote w:id="8">
    <w:p w14:paraId="0F1AA7F0" w14:textId="77777777" w:rsidR="008B5DA4" w:rsidRPr="008B5DA4" w:rsidRDefault="008B5DA4" w:rsidP="008B5DA4">
      <w:pPr>
        <w:pStyle w:val="FootnoteText0"/>
        <w:rPr>
          <w:rFonts w:ascii="Myriad Pro" w:hAnsi="Myriad Pro" w:cs="Myriad Pro"/>
          <w:color w:val="000000"/>
          <w:kern w:val="0"/>
          <w:sz w:val="16"/>
          <w:szCs w:val="24"/>
        </w:rPr>
      </w:pPr>
      <w:r>
        <w:rPr>
          <w:rFonts w:ascii="Arial" w:hAnsi="Arial" w:cs="Arial"/>
          <w:vertAlign w:val="superscript"/>
        </w:rPr>
        <w:t>9</w:t>
      </w:r>
      <w:r w:rsidRPr="002D0857">
        <w:rPr>
          <w:rFonts w:ascii="Arial" w:hAnsi="Arial" w:cs="Arial"/>
        </w:rPr>
        <w:t xml:space="preserve"> </w:t>
      </w:r>
      <w:r w:rsidRPr="008B5DA4">
        <w:rPr>
          <w:rFonts w:ascii="Myriad Pro" w:hAnsi="Myriad Pro" w:cs="Myriad Pro"/>
          <w:color w:val="000000"/>
          <w:kern w:val="0"/>
          <w:sz w:val="16"/>
          <w:szCs w:val="24"/>
        </w:rPr>
        <w:t>§ 11 odst. 1 zákona o místních poplatcích</w:t>
      </w:r>
    </w:p>
  </w:footnote>
  <w:footnote w:id="9">
    <w:p w14:paraId="0CA95A2A" w14:textId="77777777" w:rsidR="008F4521" w:rsidRPr="00861483" w:rsidRDefault="008F4521">
      <w:pPr>
        <w:pStyle w:val="Pa17"/>
        <w:spacing w:before="40" w:after="40"/>
        <w:jc w:val="both"/>
        <w:rPr>
          <w:sz w:val="16"/>
        </w:rPr>
      </w:pPr>
      <w:r w:rsidRPr="00C87A27">
        <w:rPr>
          <w:sz w:val="16"/>
          <w:vertAlign w:val="superscript"/>
        </w:rPr>
        <w:footnoteRef/>
      </w:r>
      <w:r w:rsidRPr="00C87A27">
        <w:rPr>
          <w:vertAlign w:val="superscript"/>
        </w:rPr>
        <w:t xml:space="preserve"> </w:t>
      </w:r>
      <w:r w:rsidRPr="00C87A27">
        <w:rPr>
          <w:sz w:val="16"/>
          <w:vertAlign w:val="superscript"/>
        </w:rPr>
        <w:t xml:space="preserve"> </w:t>
      </w:r>
      <w:r>
        <w:rPr>
          <w:sz w:val="16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FC5D" w14:textId="77777777" w:rsidR="0074742A" w:rsidRDefault="0074742A">
    <w:pPr>
      <w:pStyle w:val="Header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3174" w14:textId="77777777" w:rsidR="008F4521" w:rsidRDefault="008F4521">
    <w:pPr>
      <w:pStyle w:val="Title"/>
    </w:pPr>
    <w:r>
      <w:rPr>
        <w:sz w:val="36"/>
        <w:szCs w:val="36"/>
      </w:rPr>
      <w:t>Obec Vysoký Újezd</w:t>
    </w:r>
  </w:p>
  <w:p w14:paraId="09FC0370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241CA06D" w14:textId="77777777" w:rsidR="008F4521" w:rsidRDefault="00ED1924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B7BDA2" wp14:editId="41F2CD70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22F37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0317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9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11A5D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7"/>
  </w:num>
  <w:num w:numId="9">
    <w:abstractNumId w:val="28"/>
  </w:num>
  <w:num w:numId="10">
    <w:abstractNumId w:val="29"/>
  </w:num>
  <w:num w:numId="11">
    <w:abstractNumId w:val="36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22"/>
  </w:num>
  <w:num w:numId="17">
    <w:abstractNumId w:val="14"/>
  </w:num>
  <w:num w:numId="18">
    <w:abstractNumId w:val="33"/>
  </w:num>
  <w:num w:numId="19">
    <w:abstractNumId w:val="19"/>
  </w:num>
  <w:num w:numId="20">
    <w:abstractNumId w:val="9"/>
  </w:num>
  <w:num w:numId="21">
    <w:abstractNumId w:val="31"/>
  </w:num>
  <w:num w:numId="22">
    <w:abstractNumId w:val="15"/>
  </w:num>
  <w:num w:numId="23">
    <w:abstractNumId w:val="24"/>
  </w:num>
  <w:num w:numId="24">
    <w:abstractNumId w:val="32"/>
  </w:num>
  <w:num w:numId="25">
    <w:abstractNumId w:val="13"/>
  </w:num>
  <w:num w:numId="26">
    <w:abstractNumId w:val="8"/>
  </w:num>
  <w:num w:numId="27">
    <w:abstractNumId w:val="38"/>
  </w:num>
  <w:num w:numId="28">
    <w:abstractNumId w:val="39"/>
  </w:num>
  <w:num w:numId="29">
    <w:abstractNumId w:val="16"/>
  </w:num>
  <w:num w:numId="30">
    <w:abstractNumId w:val="27"/>
  </w:num>
  <w:num w:numId="31">
    <w:abstractNumId w:val="7"/>
  </w:num>
  <w:num w:numId="32">
    <w:abstractNumId w:val="34"/>
  </w:num>
  <w:num w:numId="33">
    <w:abstractNumId w:val="35"/>
  </w:num>
  <w:num w:numId="34">
    <w:abstractNumId w:val="20"/>
  </w:num>
  <w:num w:numId="35">
    <w:abstractNumId w:val="21"/>
  </w:num>
  <w:num w:numId="36">
    <w:abstractNumId w:val="18"/>
  </w:num>
  <w:num w:numId="37">
    <w:abstractNumId w:val="12"/>
  </w:num>
  <w:num w:numId="38">
    <w:abstractNumId w:val="26"/>
  </w:num>
  <w:num w:numId="39">
    <w:abstractNumId w:val="10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110F9"/>
    <w:rsid w:val="00061831"/>
    <w:rsid w:val="00064D84"/>
    <w:rsid w:val="000844EC"/>
    <w:rsid w:val="000953B7"/>
    <w:rsid w:val="000A1205"/>
    <w:rsid w:val="000F10B9"/>
    <w:rsid w:val="0011279E"/>
    <w:rsid w:val="00145E02"/>
    <w:rsid w:val="00164AF5"/>
    <w:rsid w:val="00184305"/>
    <w:rsid w:val="001844D2"/>
    <w:rsid w:val="001946E6"/>
    <w:rsid w:val="002039B1"/>
    <w:rsid w:val="00224389"/>
    <w:rsid w:val="00273961"/>
    <w:rsid w:val="002805A1"/>
    <w:rsid w:val="002819AA"/>
    <w:rsid w:val="002C1CED"/>
    <w:rsid w:val="002E29C1"/>
    <w:rsid w:val="002F5785"/>
    <w:rsid w:val="003154F4"/>
    <w:rsid w:val="0034649C"/>
    <w:rsid w:val="003511A1"/>
    <w:rsid w:val="00372275"/>
    <w:rsid w:val="00386B15"/>
    <w:rsid w:val="00387517"/>
    <w:rsid w:val="003C622F"/>
    <w:rsid w:val="003E3B68"/>
    <w:rsid w:val="003F3D6D"/>
    <w:rsid w:val="00441585"/>
    <w:rsid w:val="00466FCA"/>
    <w:rsid w:val="005335A8"/>
    <w:rsid w:val="005766AF"/>
    <w:rsid w:val="00581E5A"/>
    <w:rsid w:val="005824CF"/>
    <w:rsid w:val="005B59C9"/>
    <w:rsid w:val="005D3E6F"/>
    <w:rsid w:val="005D4DE8"/>
    <w:rsid w:val="005D5957"/>
    <w:rsid w:val="005E001C"/>
    <w:rsid w:val="005E643C"/>
    <w:rsid w:val="005F0017"/>
    <w:rsid w:val="00621A0F"/>
    <w:rsid w:val="0062242A"/>
    <w:rsid w:val="006368A3"/>
    <w:rsid w:val="00643E6F"/>
    <w:rsid w:val="00653BBA"/>
    <w:rsid w:val="006A65C1"/>
    <w:rsid w:val="006B7EDA"/>
    <w:rsid w:val="006F632A"/>
    <w:rsid w:val="00707D3D"/>
    <w:rsid w:val="00724C92"/>
    <w:rsid w:val="00737C94"/>
    <w:rsid w:val="0074742A"/>
    <w:rsid w:val="00773A80"/>
    <w:rsid w:val="00797FA3"/>
    <w:rsid w:val="007B7B82"/>
    <w:rsid w:val="007C7FD1"/>
    <w:rsid w:val="007E5FFA"/>
    <w:rsid w:val="007F7B8C"/>
    <w:rsid w:val="00801FE6"/>
    <w:rsid w:val="008118F1"/>
    <w:rsid w:val="00812271"/>
    <w:rsid w:val="0083650A"/>
    <w:rsid w:val="00861483"/>
    <w:rsid w:val="00862BF4"/>
    <w:rsid w:val="00865895"/>
    <w:rsid w:val="00893A63"/>
    <w:rsid w:val="008B5DA4"/>
    <w:rsid w:val="008F4521"/>
    <w:rsid w:val="00936982"/>
    <w:rsid w:val="009425F4"/>
    <w:rsid w:val="009700A5"/>
    <w:rsid w:val="00970F6D"/>
    <w:rsid w:val="00971FBF"/>
    <w:rsid w:val="009A3AA6"/>
    <w:rsid w:val="009C1498"/>
    <w:rsid w:val="009E2083"/>
    <w:rsid w:val="00A15C62"/>
    <w:rsid w:val="00A50425"/>
    <w:rsid w:val="00A70B69"/>
    <w:rsid w:val="00A710EA"/>
    <w:rsid w:val="00AA57A2"/>
    <w:rsid w:val="00B14D2E"/>
    <w:rsid w:val="00B92591"/>
    <w:rsid w:val="00BA1619"/>
    <w:rsid w:val="00BC600C"/>
    <w:rsid w:val="00BD02D9"/>
    <w:rsid w:val="00C02464"/>
    <w:rsid w:val="00C05954"/>
    <w:rsid w:val="00C21877"/>
    <w:rsid w:val="00C25DC8"/>
    <w:rsid w:val="00C3788F"/>
    <w:rsid w:val="00C37F03"/>
    <w:rsid w:val="00C66691"/>
    <w:rsid w:val="00C74A24"/>
    <w:rsid w:val="00C77517"/>
    <w:rsid w:val="00C81316"/>
    <w:rsid w:val="00C85991"/>
    <w:rsid w:val="00C87A27"/>
    <w:rsid w:val="00CC6DD5"/>
    <w:rsid w:val="00D331A5"/>
    <w:rsid w:val="00D44D98"/>
    <w:rsid w:val="00D6056C"/>
    <w:rsid w:val="00D72ACC"/>
    <w:rsid w:val="00D93CE4"/>
    <w:rsid w:val="00DB0AAE"/>
    <w:rsid w:val="00DF57C1"/>
    <w:rsid w:val="00E01C3D"/>
    <w:rsid w:val="00E10320"/>
    <w:rsid w:val="00E2240E"/>
    <w:rsid w:val="00E26890"/>
    <w:rsid w:val="00E2690D"/>
    <w:rsid w:val="00E6411E"/>
    <w:rsid w:val="00E97D87"/>
    <w:rsid w:val="00EC2984"/>
    <w:rsid w:val="00EC50AE"/>
    <w:rsid w:val="00EC7927"/>
    <w:rsid w:val="00ED1924"/>
    <w:rsid w:val="00ED6A8C"/>
    <w:rsid w:val="00F107AF"/>
    <w:rsid w:val="00F25E55"/>
    <w:rsid w:val="00F30881"/>
    <w:rsid w:val="00F343C3"/>
    <w:rsid w:val="00F410CB"/>
    <w:rsid w:val="00F559DA"/>
    <w:rsid w:val="00F84A98"/>
    <w:rsid w:val="00FE1D0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9698416"/>
  <w15:chartTrackingRefBased/>
  <w15:docId w15:val="{4B1B5B82-72F5-DF47-8437-246F3C09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val="cs-CZ" w:eastAsia="zh-C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2">
    <w:name w:val="Titulek2"/>
    <w:basedOn w:val="Normal"/>
    <w:pPr>
      <w:suppressLineNumbers/>
      <w:spacing w:before="120" w:after="120"/>
    </w:pPr>
    <w:rPr>
      <w:i/>
      <w:iCs/>
    </w:rPr>
  </w:style>
  <w:style w:type="paragraph" w:styleId="Heading1">
    <w:name w:val="heading 1"/>
    <w:basedOn w:val="Normal"/>
    <w:next w:val="Normal"/>
    <w:pPr>
      <w:keepNext/>
      <w:numPr>
        <w:numId w:val="3"/>
      </w:numPr>
      <w:jc w:val="center"/>
    </w:pPr>
    <w:rPr>
      <w:b/>
      <w:bCs/>
      <w:sz w:val="36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FootnoteText0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styleId="Footer0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0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komente2">
    <w:name w:val="Text komentáře2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0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al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3</cp:revision>
  <cp:lastPrinted>1601-01-01T00:00:00Z</cp:lastPrinted>
  <dcterms:created xsi:type="dcterms:W3CDTF">2022-12-14T12:25:00Z</dcterms:created>
  <dcterms:modified xsi:type="dcterms:W3CDTF">2022-12-14T12:27:00Z</dcterms:modified>
</cp:coreProperties>
</file>