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148A" w14:textId="663475E4" w:rsidR="00144013" w:rsidRPr="00FB3F06" w:rsidRDefault="00144013" w:rsidP="00FB3F06">
      <w:pPr>
        <w:pStyle w:val="Nadpis1"/>
      </w:pPr>
      <w:r w:rsidRPr="00FB3F06">
        <w:t xml:space="preserve"> Obecně závazná vyhláška </w:t>
      </w:r>
      <w:r w:rsidR="007122CE" w:rsidRPr="00FB3F06">
        <w:t xml:space="preserve">o </w:t>
      </w:r>
      <w:r w:rsidRPr="00FB3F06">
        <w:t xml:space="preserve">ochraně zeleně </w:t>
      </w:r>
      <w:r w:rsidR="00FB3F06">
        <w:br/>
      </w:r>
      <w:r w:rsidRPr="00FB3F06">
        <w:t xml:space="preserve">na území </w:t>
      </w:r>
      <w:r w:rsidR="007122CE" w:rsidRPr="00FB3F06">
        <w:t>města Moravské Budějovice</w:t>
      </w:r>
    </w:p>
    <w:p w14:paraId="35FBEC8E" w14:textId="2FDA2DF5" w:rsidR="000A3362" w:rsidRDefault="000A3362" w:rsidP="0035764D">
      <w:pPr>
        <w:spacing w:line="240" w:lineRule="auto"/>
      </w:pPr>
      <w:r w:rsidRPr="00903A95">
        <w:t xml:space="preserve">Zastupitelstvo města Moravské Budějovice se na svém zasedání dne </w:t>
      </w:r>
      <w:r>
        <w:t xml:space="preserve">10.11.2025 </w:t>
      </w:r>
      <w:r w:rsidRPr="00903A95">
        <w:t xml:space="preserve">usneslo vydat na základě ustanovení § 10 písm. </w:t>
      </w:r>
      <w:r>
        <w:t>c</w:t>
      </w:r>
      <w:r w:rsidRPr="00903A95">
        <w:t>)</w:t>
      </w:r>
      <w:r>
        <w:t xml:space="preserve"> a</w:t>
      </w:r>
      <w:r w:rsidRPr="00903A95">
        <w:t xml:space="preserve"> ustanovení § 84 odst. 2 písm. h) zákona č. 128/2000 Sb., o obcích (obecní zřízení), ve znění pozdějších předpisů, tuto obecně závaznou vyhlášku (dále jen „vyhláška“):</w:t>
      </w:r>
    </w:p>
    <w:p w14:paraId="39192673" w14:textId="22E13D5D" w:rsidR="00144013" w:rsidRPr="009C1C7B" w:rsidRDefault="00144013" w:rsidP="009C1C7B">
      <w:pPr>
        <w:pStyle w:val="Nadpis3"/>
      </w:pPr>
      <w:r w:rsidRPr="009C1C7B">
        <w:t>Článek 1</w:t>
      </w:r>
      <w:r w:rsidR="009C1C7B">
        <w:br/>
      </w:r>
      <w:r w:rsidRPr="009C1C7B">
        <w:t>Základní ustanovení</w:t>
      </w:r>
    </w:p>
    <w:p w14:paraId="2D72A542" w14:textId="1A3A545B" w:rsidR="00144013" w:rsidRPr="00483617" w:rsidRDefault="00144013" w:rsidP="00F5439F">
      <w:pPr>
        <w:pStyle w:val="Odstavecseseznamem"/>
        <w:numPr>
          <w:ilvl w:val="0"/>
          <w:numId w:val="3"/>
        </w:numPr>
        <w:spacing w:line="240" w:lineRule="auto"/>
        <w:ind w:left="567" w:hanging="113"/>
        <w:rPr>
          <w:rFonts w:ascii="Roboto" w:hAnsi="Roboto"/>
          <w:lang w:eastAsia="cs-CZ"/>
        </w:rPr>
      </w:pPr>
      <w:r w:rsidRPr="00483617">
        <w:rPr>
          <w:lang w:eastAsia="cs-CZ"/>
        </w:rPr>
        <w:t xml:space="preserve">Účelem této vyhlášky je stanovení povinností k zajištění ochrany veřejné zeleně (dále jen „zeleň“) na území </w:t>
      </w:r>
      <w:r w:rsidR="007122CE" w:rsidRPr="00483617">
        <w:rPr>
          <w:lang w:eastAsia="cs-CZ"/>
        </w:rPr>
        <w:t>města Moravské Budějovice</w:t>
      </w:r>
      <w:r w:rsidRPr="00483617">
        <w:rPr>
          <w:lang w:eastAsia="cs-CZ"/>
        </w:rPr>
        <w:t xml:space="preserve"> (dále jen „město“).</w:t>
      </w:r>
    </w:p>
    <w:p w14:paraId="223AAFB8" w14:textId="04A356AF" w:rsidR="00144013" w:rsidRPr="00483617" w:rsidRDefault="00144013" w:rsidP="00F5439F">
      <w:pPr>
        <w:pStyle w:val="Odstavecseseznamem"/>
        <w:numPr>
          <w:ilvl w:val="0"/>
          <w:numId w:val="3"/>
        </w:numPr>
        <w:spacing w:line="240" w:lineRule="auto"/>
        <w:ind w:left="567" w:hanging="113"/>
        <w:rPr>
          <w:rFonts w:ascii="Roboto" w:hAnsi="Roboto"/>
          <w:lang w:eastAsia="cs-CZ"/>
        </w:rPr>
      </w:pPr>
      <w:r w:rsidRPr="00483617">
        <w:rPr>
          <w:lang w:eastAsia="cs-CZ"/>
        </w:rPr>
        <w:t>Zelení se pro účely této vyhlášky rozumí uliční a sídlištní zeleň, parky a jiné plochy porostlé vegetací</w:t>
      </w:r>
      <w:r w:rsidR="002E16EB" w:rsidRPr="00483617">
        <w:rPr>
          <w:lang w:eastAsia="cs-CZ"/>
        </w:rPr>
        <w:t>,</w:t>
      </w:r>
      <w:r w:rsidRPr="00483617">
        <w:rPr>
          <w:lang w:eastAsia="cs-CZ"/>
        </w:rPr>
        <w:t xml:space="preserve"> přístupné každému bez omezení.</w:t>
      </w:r>
    </w:p>
    <w:p w14:paraId="4073D80C" w14:textId="3F7AF518" w:rsidR="00144013" w:rsidRPr="00483617" w:rsidRDefault="00144013" w:rsidP="00F5439F">
      <w:pPr>
        <w:pStyle w:val="Odstavecseseznamem"/>
        <w:numPr>
          <w:ilvl w:val="0"/>
          <w:numId w:val="3"/>
        </w:numPr>
        <w:spacing w:line="240" w:lineRule="auto"/>
        <w:ind w:left="567" w:hanging="113"/>
        <w:rPr>
          <w:rFonts w:ascii="Roboto" w:hAnsi="Roboto"/>
          <w:lang w:eastAsia="cs-CZ"/>
        </w:rPr>
      </w:pPr>
      <w:r w:rsidRPr="00483617">
        <w:rPr>
          <w:lang w:eastAsia="cs-CZ"/>
        </w:rPr>
        <w:t>Ustanovení této vyhlášky se nevztahují na subjekty, které mají k určité činnosti zvláštní povolení, a to v rozsahu tohoto povolení.</w:t>
      </w:r>
    </w:p>
    <w:p w14:paraId="58BD36C1" w14:textId="52EBBA7F" w:rsidR="00144013" w:rsidRPr="00144013" w:rsidRDefault="00144013" w:rsidP="009C1C7B">
      <w:pPr>
        <w:pStyle w:val="Nadpis3"/>
        <w:rPr>
          <w:rFonts w:ascii="Roboto" w:hAnsi="Roboto"/>
          <w:color w:val="666666"/>
          <w:lang w:eastAsia="cs-CZ"/>
        </w:rPr>
      </w:pPr>
      <w:r w:rsidRPr="00144013">
        <w:rPr>
          <w:lang w:eastAsia="cs-CZ"/>
        </w:rPr>
        <w:t>Článek 2</w:t>
      </w:r>
      <w:r w:rsidR="009C1C7B">
        <w:rPr>
          <w:lang w:eastAsia="cs-CZ"/>
        </w:rPr>
        <w:br/>
      </w:r>
      <w:r w:rsidR="007122CE" w:rsidRPr="00144013">
        <w:rPr>
          <w:lang w:eastAsia="cs-CZ"/>
        </w:rPr>
        <w:t>Ochrana zeleně</w:t>
      </w:r>
    </w:p>
    <w:p w14:paraId="6DEA6B5E" w14:textId="1072AAE1" w:rsidR="00144013" w:rsidRPr="00366556" w:rsidRDefault="007122CE" w:rsidP="00F5439F">
      <w:pPr>
        <w:pStyle w:val="Odstavecseseznamem"/>
        <w:numPr>
          <w:ilvl w:val="0"/>
          <w:numId w:val="4"/>
        </w:numPr>
        <w:spacing w:line="240" w:lineRule="auto"/>
        <w:ind w:left="567" w:hanging="113"/>
        <w:rPr>
          <w:lang w:eastAsia="cs-CZ"/>
        </w:rPr>
      </w:pPr>
      <w:r w:rsidRPr="00366556">
        <w:rPr>
          <w:lang w:eastAsia="cs-CZ"/>
        </w:rPr>
        <w:t xml:space="preserve">Každý si musí počínat tak, aby nepoškozoval nebo neznečišťoval veřejnou zeleň.  </w:t>
      </w:r>
    </w:p>
    <w:p w14:paraId="5525EC82" w14:textId="3D652528" w:rsidR="00144013" w:rsidRPr="00366556" w:rsidRDefault="00144013" w:rsidP="00F5439F">
      <w:pPr>
        <w:pStyle w:val="Odstavecseseznamem"/>
        <w:numPr>
          <w:ilvl w:val="0"/>
          <w:numId w:val="4"/>
        </w:numPr>
        <w:spacing w:line="240" w:lineRule="auto"/>
        <w:ind w:left="567" w:hanging="113"/>
        <w:rPr>
          <w:lang w:eastAsia="cs-CZ"/>
        </w:rPr>
      </w:pPr>
      <w:r w:rsidRPr="00366556">
        <w:rPr>
          <w:lang w:eastAsia="cs-CZ"/>
        </w:rPr>
        <w:t>Na plochách zeleně je zakázáno:</w:t>
      </w:r>
    </w:p>
    <w:p w14:paraId="2AEF1EB4" w14:textId="24FF6047" w:rsidR="00144013" w:rsidRPr="00BC1F55" w:rsidRDefault="00144013" w:rsidP="00F5439F">
      <w:pPr>
        <w:pStyle w:val="Odstavecseseznamem"/>
        <w:numPr>
          <w:ilvl w:val="0"/>
          <w:numId w:val="5"/>
        </w:numPr>
        <w:spacing w:line="240" w:lineRule="auto"/>
        <w:ind w:left="907" w:hanging="113"/>
        <w:rPr>
          <w:rFonts w:ascii="Roboto" w:hAnsi="Roboto"/>
          <w:color w:val="666666"/>
          <w:lang w:eastAsia="cs-CZ"/>
        </w:rPr>
      </w:pPr>
      <w:r w:rsidRPr="00144013">
        <w:rPr>
          <w:lang w:eastAsia="cs-CZ"/>
        </w:rPr>
        <w:t>jezdit dopravními prostředky,</w:t>
      </w:r>
    </w:p>
    <w:p w14:paraId="3279B350" w14:textId="5D5DC236" w:rsidR="00144013" w:rsidRPr="00BC1F55" w:rsidRDefault="00144013" w:rsidP="00F5439F">
      <w:pPr>
        <w:pStyle w:val="Odstavecseseznamem"/>
        <w:numPr>
          <w:ilvl w:val="0"/>
          <w:numId w:val="5"/>
        </w:numPr>
        <w:spacing w:line="240" w:lineRule="auto"/>
        <w:ind w:left="907" w:hanging="113"/>
        <w:rPr>
          <w:rFonts w:ascii="Roboto" w:hAnsi="Roboto"/>
          <w:color w:val="666666"/>
          <w:lang w:eastAsia="cs-CZ"/>
        </w:rPr>
      </w:pPr>
      <w:r w:rsidRPr="00144013">
        <w:rPr>
          <w:lang w:eastAsia="cs-CZ"/>
        </w:rPr>
        <w:t>vstupovat na květinové záhony a keřové výsadby,</w:t>
      </w:r>
      <w:r w:rsidR="003550AF">
        <w:rPr>
          <w:lang w:eastAsia="cs-CZ"/>
        </w:rPr>
        <w:t xml:space="preserve"> </w:t>
      </w:r>
      <w:r w:rsidR="003550AF" w:rsidRPr="003550AF">
        <w:rPr>
          <w:lang w:eastAsia="cs-CZ"/>
        </w:rPr>
        <w:t>trhat květiny či jiné plodiny na záhonech</w:t>
      </w:r>
      <w:r w:rsidR="00F9300B">
        <w:rPr>
          <w:lang w:eastAsia="cs-CZ"/>
        </w:rPr>
        <w:t>,</w:t>
      </w:r>
    </w:p>
    <w:p w14:paraId="01E0C854" w14:textId="3FEC22C1" w:rsidR="00144013" w:rsidRDefault="00144013" w:rsidP="00F5439F">
      <w:pPr>
        <w:pStyle w:val="Odstavecseseznamem"/>
        <w:numPr>
          <w:ilvl w:val="0"/>
          <w:numId w:val="5"/>
        </w:numPr>
        <w:spacing w:line="240" w:lineRule="auto"/>
        <w:ind w:left="907" w:hanging="113"/>
        <w:rPr>
          <w:lang w:eastAsia="cs-CZ"/>
        </w:rPr>
      </w:pPr>
      <w:r w:rsidRPr="00144013">
        <w:rPr>
          <w:lang w:eastAsia="cs-CZ"/>
        </w:rPr>
        <w:t xml:space="preserve">provádět neoprávněné výsadby, </w:t>
      </w:r>
    </w:p>
    <w:p w14:paraId="2771DDD6" w14:textId="3765DE43" w:rsidR="00F9300B" w:rsidRPr="00BC1F55" w:rsidRDefault="00F9300B" w:rsidP="00F5439F">
      <w:pPr>
        <w:pStyle w:val="Odstavecseseznamem"/>
        <w:numPr>
          <w:ilvl w:val="0"/>
          <w:numId w:val="5"/>
        </w:numPr>
        <w:spacing w:line="240" w:lineRule="auto"/>
        <w:ind w:left="907" w:hanging="113"/>
        <w:rPr>
          <w:rFonts w:ascii="Roboto" w:hAnsi="Roboto"/>
          <w:color w:val="666666"/>
          <w:lang w:eastAsia="cs-CZ"/>
        </w:rPr>
      </w:pPr>
      <w:r w:rsidRPr="00F9300B">
        <w:rPr>
          <w:lang w:eastAsia="cs-CZ"/>
        </w:rPr>
        <w:t>přemisťovat nádoby s mobilní zelení (květináče)</w:t>
      </w:r>
      <w:r w:rsidR="00EE55A1">
        <w:rPr>
          <w:lang w:eastAsia="cs-CZ"/>
        </w:rPr>
        <w:t>,</w:t>
      </w:r>
    </w:p>
    <w:p w14:paraId="565831BC" w14:textId="4D638331" w:rsidR="00144013" w:rsidRPr="00BC1F55" w:rsidRDefault="007122CE" w:rsidP="00F5439F">
      <w:pPr>
        <w:pStyle w:val="Odstavecseseznamem"/>
        <w:numPr>
          <w:ilvl w:val="0"/>
          <w:numId w:val="5"/>
        </w:numPr>
        <w:spacing w:line="240" w:lineRule="auto"/>
        <w:ind w:left="907" w:hanging="113"/>
        <w:rPr>
          <w:rFonts w:ascii="Roboto" w:hAnsi="Roboto"/>
          <w:color w:val="666666"/>
          <w:lang w:eastAsia="cs-CZ"/>
        </w:rPr>
      </w:pPr>
      <w:r>
        <w:rPr>
          <w:lang w:eastAsia="cs-CZ"/>
        </w:rPr>
        <w:t>umisťovat oplocení nebo jiné zábrany</w:t>
      </w:r>
      <w:r w:rsidR="00F9300B">
        <w:rPr>
          <w:lang w:eastAsia="cs-CZ"/>
        </w:rPr>
        <w:t>.</w:t>
      </w:r>
    </w:p>
    <w:p w14:paraId="599C66C9" w14:textId="052650A7" w:rsidR="00144013" w:rsidRPr="00144013" w:rsidRDefault="00144013" w:rsidP="009C1C7B">
      <w:pPr>
        <w:pStyle w:val="Nadpis3"/>
        <w:rPr>
          <w:rFonts w:ascii="Roboto" w:hAnsi="Roboto"/>
          <w:color w:val="666666"/>
          <w:lang w:eastAsia="cs-CZ"/>
        </w:rPr>
      </w:pPr>
      <w:r w:rsidRPr="00144013">
        <w:rPr>
          <w:lang w:eastAsia="cs-CZ"/>
        </w:rPr>
        <w:t xml:space="preserve">Článek </w:t>
      </w:r>
      <w:r w:rsidR="007122CE">
        <w:rPr>
          <w:lang w:eastAsia="cs-CZ"/>
        </w:rPr>
        <w:t>3</w:t>
      </w:r>
      <w:r w:rsidR="009C1C7B">
        <w:rPr>
          <w:lang w:eastAsia="cs-CZ"/>
        </w:rPr>
        <w:br/>
      </w:r>
      <w:r w:rsidRPr="00144013">
        <w:rPr>
          <w:lang w:eastAsia="cs-CZ"/>
        </w:rPr>
        <w:t>Závěrečná ustanovení</w:t>
      </w:r>
    </w:p>
    <w:p w14:paraId="629E6454" w14:textId="45EC5447" w:rsidR="00EE700D" w:rsidRDefault="00EE700D" w:rsidP="00EE700D">
      <w:pPr>
        <w:pStyle w:val="NCislovani1"/>
        <w:numPr>
          <w:ilvl w:val="0"/>
          <w:numId w:val="0"/>
        </w:numPr>
        <w:spacing w:line="252" w:lineRule="auto"/>
        <w:rPr>
          <w:i/>
        </w:rPr>
      </w:pPr>
      <w:r w:rsidRPr="00903A95">
        <w:t xml:space="preserve">Tato vyhláška nabývá účinnosti </w:t>
      </w:r>
      <w:r w:rsidRPr="0050269E">
        <w:rPr>
          <w:iCs/>
        </w:rPr>
        <w:t>patnáctým dnem po vyhlášení</w:t>
      </w:r>
      <w:r w:rsidRPr="0050269E">
        <w:rPr>
          <w:i/>
        </w:rPr>
        <w:t>.</w:t>
      </w:r>
    </w:p>
    <w:p w14:paraId="036E86CC" w14:textId="77777777" w:rsidR="00320349" w:rsidRDefault="00320349" w:rsidP="00EE700D">
      <w:pPr>
        <w:pStyle w:val="NCislovani1"/>
        <w:numPr>
          <w:ilvl w:val="0"/>
          <w:numId w:val="0"/>
        </w:numPr>
        <w:spacing w:line="252" w:lineRule="auto"/>
        <w:rPr>
          <w:i/>
        </w:rPr>
      </w:pPr>
    </w:p>
    <w:p w14:paraId="29E5BDA4" w14:textId="77777777" w:rsidR="00320349" w:rsidRDefault="00320349" w:rsidP="00EE700D">
      <w:pPr>
        <w:pStyle w:val="NCislovani1"/>
        <w:numPr>
          <w:ilvl w:val="0"/>
          <w:numId w:val="0"/>
        </w:numPr>
        <w:spacing w:line="252" w:lineRule="auto"/>
        <w:rPr>
          <w:i/>
        </w:rPr>
      </w:pPr>
    </w:p>
    <w:p w14:paraId="0904CD1C" w14:textId="77777777" w:rsidR="00320349" w:rsidRDefault="00320349" w:rsidP="00EE700D">
      <w:pPr>
        <w:pStyle w:val="NCislovani1"/>
        <w:numPr>
          <w:ilvl w:val="0"/>
          <w:numId w:val="0"/>
        </w:numPr>
        <w:spacing w:line="252" w:lineRule="auto"/>
        <w:rPr>
          <w:i/>
        </w:rPr>
      </w:pPr>
    </w:p>
    <w:p w14:paraId="05CC5353" w14:textId="77777777" w:rsidR="00320349" w:rsidRDefault="00320349" w:rsidP="00EE700D">
      <w:pPr>
        <w:pStyle w:val="NCislovani1"/>
        <w:numPr>
          <w:ilvl w:val="0"/>
          <w:numId w:val="0"/>
        </w:numPr>
        <w:spacing w:line="252" w:lineRule="auto"/>
        <w:rPr>
          <w:i/>
        </w:rPr>
      </w:pPr>
    </w:p>
    <w:p w14:paraId="06F34658" w14:textId="71BB9FBF" w:rsidR="0078309C" w:rsidRDefault="0078309C" w:rsidP="00320349">
      <w:pPr>
        <w:tabs>
          <w:tab w:val="center" w:pos="2410"/>
          <w:tab w:val="center" w:pos="7230"/>
        </w:tabs>
      </w:pP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3DDE4C46" w14:textId="77777777" w:rsidR="0078309C" w:rsidRDefault="0078309C" w:rsidP="0078309C">
      <w:pPr>
        <w:tabs>
          <w:tab w:val="center" w:pos="2410"/>
          <w:tab w:val="center" w:pos="7230"/>
        </w:tabs>
      </w:pPr>
      <w:r>
        <w:tab/>
        <w:t>Mgr. Martin Ferdan</w:t>
      </w:r>
      <w:r w:rsidRPr="00DF0DC1">
        <w:tab/>
      </w:r>
      <w:r>
        <w:t>Mgr. Jan Švaříček</w:t>
      </w:r>
    </w:p>
    <w:p w14:paraId="0A3DFBD8" w14:textId="71B30E67" w:rsidR="0078309C" w:rsidRPr="007122CE" w:rsidRDefault="0078309C" w:rsidP="0078309C">
      <w:pPr>
        <w:tabs>
          <w:tab w:val="center" w:pos="2410"/>
          <w:tab w:val="center" w:pos="7230"/>
        </w:tabs>
        <w:rPr>
          <w:rFonts w:eastAsia="Times New Roman"/>
          <w:color w:val="000000"/>
          <w:sz w:val="24"/>
          <w:szCs w:val="24"/>
          <w:lang w:eastAsia="cs-CZ"/>
        </w:rPr>
      </w:pPr>
      <w:r>
        <w:tab/>
      </w:r>
      <w:r w:rsidRPr="00DF0DC1">
        <w:t>starosta</w:t>
      </w:r>
      <w:r w:rsidRPr="00DF0DC1">
        <w:tab/>
        <w:t>místostarosta</w:t>
      </w:r>
    </w:p>
    <w:sectPr w:rsidR="0078309C" w:rsidRPr="007122CE" w:rsidSect="00817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985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432D" w14:textId="77777777" w:rsidR="00C276CF" w:rsidRDefault="00C276CF" w:rsidP="00E211CC">
      <w:pPr>
        <w:spacing w:line="240" w:lineRule="auto"/>
      </w:pPr>
      <w:r>
        <w:separator/>
      </w:r>
    </w:p>
  </w:endnote>
  <w:endnote w:type="continuationSeparator" w:id="0">
    <w:p w14:paraId="3B4CEFFA" w14:textId="77777777" w:rsidR="00C276CF" w:rsidRDefault="00C276CF" w:rsidP="00E21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2374" w14:textId="77777777" w:rsidR="00212498" w:rsidRDefault="002124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B80D" w14:textId="77777777" w:rsidR="00AF4854" w:rsidRDefault="00AF4854" w:rsidP="00AF4854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6AEBAFF3" w14:textId="77777777" w:rsidR="00AF4854" w:rsidRPr="007B7B62" w:rsidRDefault="00AF4854" w:rsidP="00AF4854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73742401" w14:textId="114527B3" w:rsidR="006E59ED" w:rsidRPr="00AF4854" w:rsidRDefault="00320349" w:rsidP="00AF4854">
    <w:pPr>
      <w:pStyle w:val="Zpat"/>
      <w:tabs>
        <w:tab w:val="left" w:pos="343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059821564"/>
        <w:docPartObj>
          <w:docPartGallery w:val="Page Numbers (Top of Page)"/>
          <w:docPartUnique/>
        </w:docPartObj>
      </w:sdtPr>
      <w:sdtEndPr/>
      <w:sdtContent>
        <w:r w:rsidR="00AF4854" w:rsidRPr="007B7B62">
          <w:rPr>
            <w:rFonts w:ascii="Arial" w:hAnsi="Arial" w:cs="Arial"/>
            <w:sz w:val="16"/>
            <w:szCs w:val="16"/>
          </w:rPr>
          <w:fldChar w:fldCharType="begin"/>
        </w:r>
        <w:r w:rsidR="00AF4854" w:rsidRPr="007B7B62">
          <w:rPr>
            <w:rFonts w:ascii="Arial" w:hAnsi="Arial" w:cs="Arial"/>
            <w:sz w:val="16"/>
            <w:szCs w:val="16"/>
          </w:rPr>
          <w:instrText>PAGE   \* MERGEFORMAT</w:instrText>
        </w:r>
        <w:r w:rsidR="00AF4854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AF4854">
          <w:rPr>
            <w:rFonts w:ascii="Arial" w:hAnsi="Arial" w:cs="Arial"/>
            <w:sz w:val="16"/>
            <w:szCs w:val="16"/>
          </w:rPr>
          <w:t>1</w:t>
        </w:r>
        <w:r w:rsidR="00AF4854" w:rsidRPr="007B7B62">
          <w:rPr>
            <w:rFonts w:ascii="Arial" w:hAnsi="Arial" w:cs="Arial"/>
            <w:sz w:val="16"/>
            <w:szCs w:val="16"/>
          </w:rPr>
          <w:fldChar w:fldCharType="end"/>
        </w:r>
        <w:r w:rsidR="00AF4854" w:rsidRPr="007B7B62">
          <w:rPr>
            <w:rFonts w:ascii="Arial" w:hAnsi="Arial" w:cs="Arial"/>
            <w:sz w:val="16"/>
            <w:szCs w:val="16"/>
          </w:rPr>
          <w:t xml:space="preserve"> </w:t>
        </w:r>
        <w:r w:rsidR="00AF4854" w:rsidRPr="007B7B62">
          <w:rPr>
            <w:rFonts w:ascii="Arial" w:hAnsi="Arial" w:cs="Arial"/>
            <w:color w:val="FFD525"/>
            <w:sz w:val="16"/>
            <w:szCs w:val="16"/>
          </w:rPr>
          <w:t>|</w:t>
        </w:r>
        <w:r w:rsidR="00AF4854" w:rsidRPr="007B7B62">
          <w:rPr>
            <w:rFonts w:ascii="Arial" w:hAnsi="Arial" w:cs="Arial"/>
            <w:sz w:val="16"/>
            <w:szCs w:val="16"/>
          </w:rPr>
          <w:t xml:space="preserve"> </w:t>
        </w:r>
        <w:r w:rsidR="00AF4854" w:rsidRPr="007B7B62">
          <w:rPr>
            <w:rFonts w:ascii="Arial" w:hAnsi="Arial" w:cs="Arial"/>
            <w:sz w:val="16"/>
            <w:szCs w:val="16"/>
          </w:rPr>
          <w:fldChar w:fldCharType="begin"/>
        </w:r>
        <w:r w:rsidR="00AF4854" w:rsidRPr="007B7B62">
          <w:rPr>
            <w:rFonts w:ascii="Arial" w:hAnsi="Arial" w:cs="Arial"/>
            <w:sz w:val="16"/>
            <w:szCs w:val="16"/>
          </w:rPr>
          <w:instrText xml:space="preserve"> NUMPAGES  \* Arabic  \* MERGEFORMAT </w:instrText>
        </w:r>
        <w:r w:rsidR="00AF4854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AF4854">
          <w:rPr>
            <w:rFonts w:ascii="Arial" w:hAnsi="Arial" w:cs="Arial"/>
            <w:sz w:val="16"/>
            <w:szCs w:val="16"/>
          </w:rPr>
          <w:t>2</w:t>
        </w:r>
        <w:r w:rsidR="00AF4854" w:rsidRPr="007B7B62">
          <w:rPr>
            <w:rFonts w:ascii="Arial" w:hAnsi="Arial" w:cs="Arial"/>
            <w:sz w:val="16"/>
            <w:szCs w:val="16"/>
          </w:rPr>
          <w:fldChar w:fldCharType="end"/>
        </w:r>
        <w:r w:rsidR="00AF4854" w:rsidRPr="007B7B62">
          <w:rPr>
            <w:rFonts w:ascii="Arial" w:hAnsi="Arial" w:cs="Arial"/>
            <w:sz w:val="16"/>
            <w:szCs w:val="16"/>
          </w:rPr>
          <w:t xml:space="preserve"> </w:t>
        </w:r>
        <w:r w:rsidR="00AF4854" w:rsidRPr="007B7B62">
          <w:rPr>
            <w:rFonts w:ascii="Arial" w:hAnsi="Arial" w:cs="Arial"/>
            <w:sz w:val="16"/>
            <w:szCs w:val="16"/>
          </w:rPr>
          <w:tab/>
        </w:r>
        <w:r w:rsidR="00AF4854">
          <w:rPr>
            <w:rFonts w:ascii="Arial" w:hAnsi="Arial" w:cs="Arial"/>
            <w:sz w:val="16"/>
            <w:szCs w:val="16"/>
          </w:rPr>
          <w:tab/>
        </w:r>
      </w:sdtContent>
    </w:sdt>
    <w:r w:rsidR="00AF4854" w:rsidRPr="007B7B62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1CB7" w14:textId="77777777" w:rsidR="00212498" w:rsidRDefault="00212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C928" w14:textId="77777777" w:rsidR="00C276CF" w:rsidRDefault="00C276CF" w:rsidP="00E211CC">
      <w:pPr>
        <w:spacing w:line="240" w:lineRule="auto"/>
      </w:pPr>
      <w:r>
        <w:separator/>
      </w:r>
    </w:p>
  </w:footnote>
  <w:footnote w:type="continuationSeparator" w:id="0">
    <w:p w14:paraId="48012DB0" w14:textId="77777777" w:rsidR="00C276CF" w:rsidRDefault="00C276CF" w:rsidP="00E21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609C" w14:textId="77777777" w:rsidR="00212498" w:rsidRDefault="002124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691F" w14:textId="11379948" w:rsidR="006E59ED" w:rsidRDefault="006E59ED" w:rsidP="006E59ED">
    <w:pPr>
      <w:pStyle w:val="MBzahlavi"/>
      <w:ind w:left="4961"/>
    </w:pPr>
    <w:r w:rsidRPr="00A14857">
      <w:drawing>
        <wp:anchor distT="0" distB="0" distL="114300" distR="114300" simplePos="0" relativeHeight="251659264" behindDoc="0" locked="0" layoutInCell="1" allowOverlap="1" wp14:anchorId="5395E70A" wp14:editId="38CD44C6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BB27D" w14:textId="29728486" w:rsidR="006E59ED" w:rsidRDefault="00212498" w:rsidP="006E59ED">
    <w:pPr>
      <w:pStyle w:val="MBzahlavi"/>
      <w:ind w:left="4820"/>
    </w:pPr>
    <w:r>
      <w:t>Město Moravské Budějovice</w:t>
    </w:r>
    <w:r w:rsidR="006E59ED" w:rsidRPr="005C34CA">
      <w:t xml:space="preserve"> </w:t>
    </w:r>
  </w:p>
  <w:p w14:paraId="239B324A" w14:textId="47268B73" w:rsidR="006E59ED" w:rsidRDefault="00212498" w:rsidP="006E59ED">
    <w:pPr>
      <w:pStyle w:val="MB-zahlavi-pruh"/>
      <w:ind w:left="5103"/>
    </w:pPr>
    <w:r>
      <w:t>Zastupitelstvo města Moravské Budějovice</w:t>
    </w:r>
    <w:r w:rsidR="006E59ED" w:rsidRPr="005C34CA">
      <w:t xml:space="preserve"> </w:t>
    </w:r>
  </w:p>
  <w:p w14:paraId="13E5024C" w14:textId="77777777" w:rsidR="006E59ED" w:rsidRDefault="006E59ED" w:rsidP="006E59ED">
    <w:pPr>
      <w:pStyle w:val="Zhlav"/>
    </w:pPr>
  </w:p>
  <w:p w14:paraId="0D7DC28A" w14:textId="77777777" w:rsidR="006E59ED" w:rsidRDefault="006E59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7AFF" w14:textId="77777777" w:rsidR="00212498" w:rsidRDefault="002124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4D9"/>
    <w:multiLevelType w:val="hybridMultilevel"/>
    <w:tmpl w:val="200A7252"/>
    <w:lvl w:ilvl="0" w:tplc="C09E0E40">
      <w:start w:val="1"/>
      <w:numFmt w:val="decimal"/>
      <w:lvlText w:val="%1)"/>
      <w:lvlJc w:val="left"/>
      <w:pPr>
        <w:ind w:left="740" w:hanging="380"/>
      </w:pPr>
      <w:rPr>
        <w:rFonts w:ascii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2B7"/>
    <w:multiLevelType w:val="hybridMultilevel"/>
    <w:tmpl w:val="78B07F9C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922F0"/>
    <w:multiLevelType w:val="hybridMultilevel"/>
    <w:tmpl w:val="78B07F9C"/>
    <w:lvl w:ilvl="0" w:tplc="22F2FA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6A9E"/>
    <w:multiLevelType w:val="hybridMultilevel"/>
    <w:tmpl w:val="141AA8E6"/>
    <w:lvl w:ilvl="0" w:tplc="38A8E86C">
      <w:start w:val="1"/>
      <w:numFmt w:val="lowerLetter"/>
      <w:lvlText w:val="%1)"/>
      <w:lvlJc w:val="left"/>
      <w:pPr>
        <w:ind w:left="740" w:hanging="380"/>
      </w:pPr>
      <w:rPr>
        <w:rFonts w:ascii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737D"/>
    <w:multiLevelType w:val="hybridMultilevel"/>
    <w:tmpl w:val="45403A42"/>
    <w:lvl w:ilvl="0" w:tplc="52D65582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EFA"/>
    <w:multiLevelType w:val="hybridMultilevel"/>
    <w:tmpl w:val="33B4D154"/>
    <w:lvl w:ilvl="0" w:tplc="FDA40BF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E5512"/>
    <w:multiLevelType w:val="hybridMultilevel"/>
    <w:tmpl w:val="1F3CAAD4"/>
    <w:lvl w:ilvl="0" w:tplc="280E11FA">
      <w:start w:val="1"/>
      <w:numFmt w:val="decimal"/>
      <w:pStyle w:val="NCislovani1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98026">
    <w:abstractNumId w:val="5"/>
  </w:num>
  <w:num w:numId="2" w16cid:durableId="1172837272">
    <w:abstractNumId w:val="0"/>
  </w:num>
  <w:num w:numId="3" w16cid:durableId="211355221">
    <w:abstractNumId w:val="2"/>
  </w:num>
  <w:num w:numId="4" w16cid:durableId="507915256">
    <w:abstractNumId w:val="1"/>
  </w:num>
  <w:num w:numId="5" w16cid:durableId="887959192">
    <w:abstractNumId w:val="4"/>
  </w:num>
  <w:num w:numId="6" w16cid:durableId="330647543">
    <w:abstractNumId w:val="3"/>
  </w:num>
  <w:num w:numId="7" w16cid:durableId="1673337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3"/>
    <w:rsid w:val="000069DD"/>
    <w:rsid w:val="000123C0"/>
    <w:rsid w:val="000A3362"/>
    <w:rsid w:val="00112498"/>
    <w:rsid w:val="001250E8"/>
    <w:rsid w:val="00127166"/>
    <w:rsid w:val="00127F54"/>
    <w:rsid w:val="00144013"/>
    <w:rsid w:val="00172DB4"/>
    <w:rsid w:val="00183302"/>
    <w:rsid w:val="001C648B"/>
    <w:rsid w:val="00207506"/>
    <w:rsid w:val="00212498"/>
    <w:rsid w:val="00242BAC"/>
    <w:rsid w:val="002505C3"/>
    <w:rsid w:val="002E16EB"/>
    <w:rsid w:val="00301786"/>
    <w:rsid w:val="00320349"/>
    <w:rsid w:val="003550AF"/>
    <w:rsid w:val="0035764D"/>
    <w:rsid w:val="00365AC8"/>
    <w:rsid w:val="00366556"/>
    <w:rsid w:val="00422503"/>
    <w:rsid w:val="00445C06"/>
    <w:rsid w:val="004764B4"/>
    <w:rsid w:val="00483617"/>
    <w:rsid w:val="00485E00"/>
    <w:rsid w:val="004E7B5B"/>
    <w:rsid w:val="00521137"/>
    <w:rsid w:val="0054499C"/>
    <w:rsid w:val="00581ED5"/>
    <w:rsid w:val="00586E40"/>
    <w:rsid w:val="005F1415"/>
    <w:rsid w:val="006302C0"/>
    <w:rsid w:val="00651C76"/>
    <w:rsid w:val="00674064"/>
    <w:rsid w:val="00685671"/>
    <w:rsid w:val="006E59ED"/>
    <w:rsid w:val="007122CE"/>
    <w:rsid w:val="00713F72"/>
    <w:rsid w:val="007664A9"/>
    <w:rsid w:val="0078309C"/>
    <w:rsid w:val="007C575B"/>
    <w:rsid w:val="007F23F5"/>
    <w:rsid w:val="00807D72"/>
    <w:rsid w:val="00817462"/>
    <w:rsid w:val="0087209D"/>
    <w:rsid w:val="008D7420"/>
    <w:rsid w:val="008E6CD6"/>
    <w:rsid w:val="009270BF"/>
    <w:rsid w:val="0093044B"/>
    <w:rsid w:val="009729B9"/>
    <w:rsid w:val="009A5C3F"/>
    <w:rsid w:val="009C1C7B"/>
    <w:rsid w:val="00A20393"/>
    <w:rsid w:val="00A226BB"/>
    <w:rsid w:val="00A67C2D"/>
    <w:rsid w:val="00A97F36"/>
    <w:rsid w:val="00AF4854"/>
    <w:rsid w:val="00B034D7"/>
    <w:rsid w:val="00B73778"/>
    <w:rsid w:val="00B82923"/>
    <w:rsid w:val="00BC1F55"/>
    <w:rsid w:val="00C262F8"/>
    <w:rsid w:val="00C276CF"/>
    <w:rsid w:val="00CC093B"/>
    <w:rsid w:val="00CC7A14"/>
    <w:rsid w:val="00D25C21"/>
    <w:rsid w:val="00D35E18"/>
    <w:rsid w:val="00D6074D"/>
    <w:rsid w:val="00DA4321"/>
    <w:rsid w:val="00E211CC"/>
    <w:rsid w:val="00E54A8D"/>
    <w:rsid w:val="00E600A2"/>
    <w:rsid w:val="00E62C2A"/>
    <w:rsid w:val="00EC0EEC"/>
    <w:rsid w:val="00EC0F8D"/>
    <w:rsid w:val="00ED13B7"/>
    <w:rsid w:val="00ED4408"/>
    <w:rsid w:val="00EE55A1"/>
    <w:rsid w:val="00EE700D"/>
    <w:rsid w:val="00F47659"/>
    <w:rsid w:val="00F5439F"/>
    <w:rsid w:val="00F67C65"/>
    <w:rsid w:val="00F9300B"/>
    <w:rsid w:val="00FA168B"/>
    <w:rsid w:val="00FA7981"/>
    <w:rsid w:val="00FB3F06"/>
    <w:rsid w:val="00FB6303"/>
    <w:rsid w:val="00FC63EA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058DD"/>
  <w15:chartTrackingRefBased/>
  <w15:docId w15:val="{A4C27440-4C7B-4946-88EA-81FF5C79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C7B"/>
    <w:pPr>
      <w:spacing w:line="288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zev"/>
    <w:next w:val="Normln"/>
    <w:link w:val="Nadpis1Char"/>
    <w:uiPriority w:val="9"/>
    <w:qFormat/>
    <w:rsid w:val="00FB3F06"/>
    <w:pPr>
      <w:spacing w:after="480" w:line="288" w:lineRule="auto"/>
      <w:contextualSpacing w:val="0"/>
      <w:jc w:val="center"/>
      <w:outlineLvl w:val="0"/>
    </w:pPr>
    <w:rPr>
      <w:rFonts w:ascii="Arial" w:eastAsiaTheme="minorHAnsi" w:hAnsi="Arial" w:cs="Arial"/>
      <w:b/>
      <w:bCs/>
      <w:spacing w:val="0"/>
      <w:kern w:val="22"/>
      <w:sz w:val="36"/>
      <w:szCs w:val="36"/>
      <w14:ligatures w14:val="standardContextual"/>
    </w:rPr>
  </w:style>
  <w:style w:type="paragraph" w:styleId="Nadpis3">
    <w:name w:val="heading 3"/>
    <w:next w:val="Normln"/>
    <w:link w:val="Nadpis3Char"/>
    <w:uiPriority w:val="9"/>
    <w:unhideWhenUsed/>
    <w:qFormat/>
    <w:rsid w:val="009C1C7B"/>
    <w:pPr>
      <w:keepNext/>
      <w:spacing w:before="540" w:after="280" w:line="288" w:lineRule="auto"/>
      <w:jc w:val="center"/>
      <w:outlineLvl w:val="2"/>
    </w:pPr>
    <w:rPr>
      <w:rFonts w:ascii="Arial" w:eastAsiaTheme="minorHAnsi" w:hAnsi="Arial" w:cs="Arial"/>
      <w:b/>
      <w:bCs/>
      <w:kern w:val="2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0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44013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4764B4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A22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6B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226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6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26BB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1C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211CC"/>
    <w:rPr>
      <w:lang w:eastAsia="en-US"/>
    </w:rPr>
  </w:style>
  <w:style w:type="character" w:styleId="Znakapoznpodarou">
    <w:name w:val="footnote reference"/>
    <w:uiPriority w:val="99"/>
    <w:semiHidden/>
    <w:unhideWhenUsed/>
    <w:rsid w:val="00E211CC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EC0E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C0EEC"/>
    <w:rPr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8D742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E59E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9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E59E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9ED"/>
    <w:rPr>
      <w:sz w:val="22"/>
      <w:szCs w:val="22"/>
      <w:lang w:eastAsia="en-US"/>
    </w:rPr>
  </w:style>
  <w:style w:type="paragraph" w:customStyle="1" w:styleId="MBzahlavi">
    <w:name w:val="MB_zahlavi"/>
    <w:qFormat/>
    <w:rsid w:val="006E59ED"/>
    <w:pPr>
      <w:suppressAutoHyphens/>
      <w:spacing w:line="278" w:lineRule="auto"/>
      <w:jc w:val="right"/>
    </w:pPr>
    <w:rPr>
      <w:rFonts w:ascii="Arial" w:eastAsiaTheme="minorHAnsi" w:hAnsi="Arial" w:cs="Arial"/>
      <w:noProof/>
      <w:kern w:val="2"/>
      <w:lang w:eastAsia="en-US"/>
      <w14:ligatures w14:val="standardContextual"/>
    </w:rPr>
  </w:style>
  <w:style w:type="paragraph" w:customStyle="1" w:styleId="MB-zahlavi-pruh">
    <w:name w:val="MB-zahlavi-pruh"/>
    <w:qFormat/>
    <w:rsid w:val="006E59ED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FB3F06"/>
    <w:rPr>
      <w:rFonts w:ascii="Arial" w:eastAsiaTheme="minorHAnsi" w:hAnsi="Arial" w:cs="Arial"/>
      <w:b/>
      <w:bCs/>
      <w:kern w:val="22"/>
      <w:sz w:val="36"/>
      <w:szCs w:val="3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FB3F0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3F0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C1C7B"/>
    <w:rPr>
      <w:rFonts w:ascii="Arial" w:eastAsiaTheme="minorHAnsi" w:hAnsi="Arial" w:cs="Arial"/>
      <w:b/>
      <w:bCs/>
      <w:kern w:val="22"/>
      <w:sz w:val="24"/>
      <w:szCs w:val="24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366556"/>
    <w:pPr>
      <w:ind w:left="567" w:hanging="113"/>
      <w:contextualSpacing/>
    </w:pPr>
  </w:style>
  <w:style w:type="paragraph" w:customStyle="1" w:styleId="NCislovani1">
    <w:name w:val="NCislovani1"/>
    <w:basedOn w:val="Odstavecseseznamem"/>
    <w:qFormat/>
    <w:rsid w:val="00EE700D"/>
    <w:pPr>
      <w:numPr>
        <w:numId w:val="7"/>
      </w:numPr>
      <w:tabs>
        <w:tab w:val="num" w:pos="360"/>
      </w:tabs>
      <w:ind w:left="567" w:hanging="113"/>
    </w:pPr>
    <w:rPr>
      <w:rFonts w:eastAsiaTheme="minorHAnsi"/>
      <w:kern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80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2073-D82D-4EB6-A8F5-C6C17E95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RUSCHKOVÁ Katarina Ing.</dc:creator>
  <cp:keywords/>
  <cp:lastModifiedBy>Prokešová Pavlína, Bc.</cp:lastModifiedBy>
  <cp:revision>10</cp:revision>
  <cp:lastPrinted>2024-06-24T09:52:00Z</cp:lastPrinted>
  <dcterms:created xsi:type="dcterms:W3CDTF">2025-09-24T11:19:00Z</dcterms:created>
  <dcterms:modified xsi:type="dcterms:W3CDTF">2025-10-08T11:39:00Z</dcterms:modified>
</cp:coreProperties>
</file>