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29"/>
        <w:pBdr/>
        <w:spacing/>
        <w:ind/>
        <w:rPr/>
      </w:pPr>
      <w:r>
        <w:t xml:space="preserve">Obec Dolany</w:t>
      </w:r>
      <w:r>
        <w:br/>
        <w:t xml:space="preserve">Zastupitelstvo obce Dolany</w:t>
      </w:r>
      <w:r/>
    </w:p>
    <w:p>
      <w:pPr>
        <w:pStyle w:val="818"/>
        <w:pBdr/>
        <w:spacing/>
        <w:ind/>
        <w:rPr/>
      </w:pPr>
      <w:r>
        <w:t xml:space="preserve">Obecně závazná vyhláška obce Dolany</w:t>
      </w:r>
      <w:r>
        <w:br/>
        <w:t xml:space="preserve">o místním poplatku za obecní systém odpadového hospodářství</w:t>
      </w:r>
      <w:r/>
    </w:p>
    <w:p>
      <w:pPr>
        <w:pStyle w:val="830"/>
        <w:pBdr/>
        <w:spacing/>
        <w:ind/>
        <w:rPr/>
      </w:pPr>
      <w:r>
        <w:t xml:space="preserve">Zastupitelstvo obce Dolany se na svém zasedání dne</w:t>
      </w:r>
      <w:r>
        <w:t xml:space="preserve"> 7.května</w:t>
      </w:r>
      <w:r>
        <w:t xml:space="preserve"> 2025 usneslo vydat na základě § 14 zákona č. 565/1990 Sb., o místních poplatcích, </w:t>
      </w:r>
      <w:r>
        <w:t xml:space="preserve"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  <w:r/>
    </w:p>
    <w:p>
      <w:pPr>
        <w:pStyle w:val="819"/>
        <w:pBdr/>
        <w:spacing/>
        <w:ind/>
        <w:rPr/>
      </w:pPr>
      <w:r>
        <w:t xml:space="preserve">Čl. 1</w:t>
      </w:r>
      <w:r>
        <w:br/>
        <w:t xml:space="preserve">Úvodní ustanovení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Obec Dolany touto vyhláškou zavádí místní poplatek za obecní systém odpadového hospodářství (dále jen „poplatek“).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Poplatkovým obdobím poplatku je kalendářní rok</w:t>
      </w:r>
      <w:r>
        <w:rPr>
          <w:rStyle w:val="838"/>
        </w:rPr>
        <w:footnoteReference w:id="2"/>
      </w:r>
      <w:r>
        <w:t xml:space="preserve">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Správcem poplatku je obecní úřad</w:t>
      </w:r>
      <w:r>
        <w:rPr>
          <w:rStyle w:val="838"/>
        </w:rPr>
        <w:footnoteReference w:id="3"/>
      </w:r>
      <w:r>
        <w:t xml:space="preserve">.</w:t>
      </w:r>
      <w:r/>
    </w:p>
    <w:p>
      <w:pPr>
        <w:pStyle w:val="819"/>
        <w:pBdr/>
        <w:spacing/>
        <w:ind/>
        <w:rPr/>
      </w:pPr>
      <w:r>
        <w:t xml:space="preserve">Čl. 2</w:t>
      </w:r>
      <w:r>
        <w:br/>
        <w:t xml:space="preserve">Poplatník</w:t>
      </w:r>
      <w:r/>
    </w:p>
    <w:p>
      <w:pPr>
        <w:pStyle w:val="831"/>
        <w:numPr>
          <w:ilvl w:val="0"/>
          <w:numId w:val="2"/>
        </w:numPr>
        <w:pBdr/>
        <w:spacing/>
        <w:ind/>
        <w:rPr/>
      </w:pPr>
      <w:r>
        <w:t xml:space="preserve">Poplatníkem poplatku je</w:t>
      </w:r>
      <w:r>
        <w:rPr>
          <w:rStyle w:val="838"/>
        </w:rPr>
        <w:footnoteReference w:id="4"/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fyzická osoba přihlášená v obci</w:t>
      </w:r>
      <w:r>
        <w:rPr>
          <w:rStyle w:val="838"/>
        </w:rPr>
        <w:footnoteReference w:id="5"/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nebo vlastník nemovité věci zahrnující byt, rodinný dům nebo stavbu pro rodinnou rekreaci, ve které není přihlášená žádná fyzická osoba a která je umístěna na území obce.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Spoluvlastníci nemovité věci zahrnující byt, rodinný dům nebo stavbu pro rodinnou rekreaci jsou povinni plnit poplatkovou povinnost společně a nerozdílně</w:t>
      </w:r>
      <w:r>
        <w:rPr>
          <w:rStyle w:val="838"/>
        </w:rPr>
        <w:footnoteReference w:id="6"/>
      </w:r>
      <w:r>
        <w:t xml:space="preserve">.</w:t>
      </w:r>
      <w:r/>
    </w:p>
    <w:p>
      <w:pPr>
        <w:pStyle w:val="819"/>
        <w:pBdr/>
        <w:spacing/>
        <w:ind/>
        <w:rPr/>
      </w:pPr>
      <w:r>
        <w:t xml:space="preserve">Čl. 3</w:t>
      </w:r>
      <w:r>
        <w:br/>
        <w:t xml:space="preserve">Ohlašovací povinnost</w:t>
      </w:r>
      <w:r/>
    </w:p>
    <w:p>
      <w:pPr>
        <w:pStyle w:val="831"/>
        <w:numPr>
          <w:ilvl w:val="0"/>
          <w:numId w:val="3"/>
        </w:numPr>
        <w:pBdr/>
        <w:spacing/>
        <w:ind/>
        <w:rPr/>
      </w:pPr>
      <w:r>
        <w:t xml:space="preserve">Poplatník je povinen podat správci poplatku ohlášení nejpozději do 15 dnů ode dne vzniku své poplatkové povinnosti; údaje uváděné v ohlášení upravuje zákon</w:t>
      </w:r>
      <w:r>
        <w:rPr>
          <w:rStyle w:val="838"/>
        </w:rPr>
        <w:footnoteReference w:id="7"/>
      </w:r>
      <w:r>
        <w:t xml:space="preserve">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Dojde-li ke změně údajů uvedených v ohlášení, je poplatník povinen tuto změnu oznámit do 15 dnů ode dne, kdy nastala</w:t>
      </w:r>
      <w:r>
        <w:rPr>
          <w:rStyle w:val="838"/>
        </w:rPr>
        <w:footnoteReference w:id="8"/>
      </w:r>
      <w:r>
        <w:t xml:space="preserve">.</w:t>
      </w:r>
      <w:r/>
    </w:p>
    <w:p>
      <w:pPr>
        <w:pStyle w:val="819"/>
        <w:pBdr/>
        <w:spacing/>
        <w:ind/>
        <w:rPr/>
      </w:pPr>
      <w:r>
        <w:t xml:space="preserve">Čl. 4</w:t>
      </w:r>
      <w:r>
        <w:br/>
        <w:t xml:space="preserve">Sazba poplatku</w:t>
      </w:r>
      <w:r/>
    </w:p>
    <w:p>
      <w:pPr>
        <w:pStyle w:val="831"/>
        <w:numPr>
          <w:ilvl w:val="0"/>
          <w:numId w:val="4"/>
        </w:numPr>
        <w:pBdr/>
        <w:spacing/>
        <w:ind/>
        <w:rPr/>
      </w:pPr>
      <w:r>
        <w:t xml:space="preserve">Sazba poplatku za kalendářní rok činí 550 Kč.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Poplatek se v případě, že poplatková povinnost vznikla z důvodu přihlášení fyzické osoby v obci, snižuje o jednu dvanáctinu za každý kalendářní měsíc, na jehož konci</w:t>
      </w:r>
      <w:r>
        <w:rPr>
          <w:rStyle w:val="838"/>
        </w:rPr>
        <w:footnoteReference w:id="9"/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není tato fyzická osoba přihlášena v obci,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nebo je tato fyzická osoba od poplatku osvobozena.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838"/>
        </w:rPr>
        <w:footnoteReference w:id="10"/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je v této nemovité věci přihlášena alespoň 1 fyzická osoba,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poplatník nevlastní tuto nemovitou věc,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nebo je poplatník od poplatku osvobozen.</w:t>
      </w:r>
      <w:r/>
    </w:p>
    <w:p>
      <w:pPr>
        <w:pStyle w:val="819"/>
        <w:pBdr/>
        <w:spacing/>
        <w:ind/>
        <w:rPr/>
      </w:pPr>
      <w:r>
        <w:t xml:space="preserve">Čl. 5</w:t>
      </w:r>
      <w:r>
        <w:br/>
        <w:t xml:space="preserve">Splatnost poplatku</w:t>
      </w:r>
      <w:r/>
    </w:p>
    <w:p>
      <w:pPr>
        <w:pStyle w:val="831"/>
        <w:numPr>
          <w:ilvl w:val="0"/>
          <w:numId w:val="5"/>
        </w:numPr>
        <w:pBdr/>
        <w:spacing/>
        <w:ind/>
        <w:rPr/>
      </w:pPr>
      <w:r>
        <w:t xml:space="preserve">Poplatek je splatný nejpozději do 31. května příslušného kalendářního roku.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Vznikne-li poplatková povinnost po datu splatnosti uvedeném v odstavci 1, je poplatek splatný nejpozději do patnáctého dne měsíce, který následuje po měsíci, ve kterém poplatková povinnost vznikla.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Lhůta splatnosti neskončí poplatníkovi dříve než lhůta pro podání ohlášení podle čl. 3 odst. 1 této vyhlášky.</w:t>
      </w:r>
      <w:r/>
    </w:p>
    <w:p>
      <w:pPr>
        <w:pStyle w:val="819"/>
        <w:pBdr/>
        <w:spacing/>
        <w:ind/>
        <w:rPr/>
      </w:pPr>
      <w:r>
        <w:t xml:space="preserve">Čl. 6</w:t>
      </w:r>
      <w:r>
        <w:br/>
        <w:t xml:space="preserve"> Osvobození a úlevy</w:t>
      </w:r>
      <w:r/>
    </w:p>
    <w:p>
      <w:pPr>
        <w:pStyle w:val="831"/>
        <w:numPr>
          <w:ilvl w:val="0"/>
          <w:numId w:val="6"/>
        </w:numPr>
        <w:pBdr/>
        <w:spacing/>
        <w:ind/>
        <w:rPr/>
      </w:pPr>
      <w:r>
        <w:t xml:space="preserve">Od poplatku je osvobozena osoba, které poplatková povinnost vznikla z důvodu přihlášení v obci a která je</w:t>
      </w:r>
      <w:r>
        <w:rPr>
          <w:rStyle w:val="838"/>
        </w:rPr>
        <w:footnoteReference w:id="11"/>
      </w:r>
      <w:r>
        <w:t xml:space="preserve">: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poplatníkem poplatku za odkládání komunálního odpadu z nemovité věci v jiné obci a má v této jiné obci bydliště,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umístěna do školského zařízení pro výkon ústavní nebo ochranné výchovy nebo školského zařízení pro preventivně výchovnou péči na základě rozhodnutí soudu nebo smlouvy,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umístěna do zařízení pro děti vyžadující okamžitou pomoc na základě rozhodnutí soudu, na žádost obecního úřadu obce s rozšířenou působností, zákonného zástupce dítěte nebo nezletilého,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umístěna v domově pro osoby se zdravotním postižením, domově pro seniory, domově se zvláštním režimem nebo v chráněném bydlení,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nebo na základě zákona omezena na osobní svobodě s výjimkou osoby vykonávající trest domácího vězení.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Od poplatku se osvobozuje osoba, které poplatková povinnost vznikla z důvodu přihlášení v obci a která: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je umístěna v léčebně pro dlouhodobě nemocné nebo v psychiatrické léčebně, a to po dobu jejího umístění,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pobývá v azylovém domě, a to po dobu jejího pobytu,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pobývá celoročně nepřetržitě v zahraničí,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je držitelem průkazu ZTP nebo ZTP/P,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je přihlášená v sídle ohlašovny obecního úřadu na adrese Dolany čp. 78,</w:t>
      </w:r>
      <w:r/>
    </w:p>
    <w:p>
      <w:pPr>
        <w:pStyle w:val="831"/>
        <w:numPr>
          <w:ilvl w:val="1"/>
          <w:numId w:val="1"/>
        </w:numPr>
        <w:pBdr/>
        <w:spacing/>
        <w:ind/>
        <w:rPr/>
      </w:pPr>
      <w:r>
        <w:t xml:space="preserve">v příslušném kalendářním roce dovrší nejvýše 10 let věku.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Úleva se poskytuje osobě, které poplatková povinnost vznikla z důvodu přihlášení v obci a která v příslušném kalendářním roce dosáhne 65 a více let věku, ve výši 100 Kč.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838"/>
        </w:rPr>
        <w:footnoteReference w:id="12"/>
      </w:r>
      <w:r>
        <w:t xml:space="preserve">.</w:t>
      </w:r>
      <w:r/>
    </w:p>
    <w:p>
      <w:pPr>
        <w:pStyle w:val="819"/>
        <w:pBdr/>
        <w:spacing/>
        <w:ind/>
        <w:rPr/>
      </w:pPr>
      <w:r>
        <w:t xml:space="preserve">Čl. 7</w:t>
      </w:r>
      <w:r>
        <w:br/>
        <w:t xml:space="preserve">Přechodné a zrušovací ustanovení</w:t>
      </w:r>
      <w:r/>
    </w:p>
    <w:p>
      <w:pPr>
        <w:pStyle w:val="831"/>
        <w:numPr>
          <w:ilvl w:val="0"/>
          <w:numId w:val="7"/>
        </w:numPr>
        <w:pBdr/>
        <w:spacing/>
        <w:ind/>
        <w:rPr/>
      </w:pPr>
      <w:r>
        <w:t xml:space="preserve">Poplatkové povinnosti vzniklé před nabytím účinnosti této vyhlášky se posuzují podle dosavadních právních předpisů.</w:t>
      </w:r>
      <w:r/>
    </w:p>
    <w:p>
      <w:pPr>
        <w:pStyle w:val="831"/>
        <w:numPr>
          <w:ilvl w:val="0"/>
          <w:numId w:val="1"/>
        </w:numPr>
        <w:pBdr/>
        <w:spacing/>
        <w:ind/>
        <w:rPr/>
      </w:pPr>
      <w:r>
        <w:t xml:space="preserve">Zrušuje se obecně závazná vyhláška č. 2/2024, o místním poplatku za obecní systém odpadového hospodářství, ze dne 15. února 2024.</w:t>
      </w:r>
      <w:r/>
    </w:p>
    <w:p>
      <w:pPr>
        <w:pStyle w:val="819"/>
        <w:pBdr/>
        <w:spacing/>
        <w:ind/>
        <w:rPr/>
      </w:pPr>
      <w:r>
        <w:t xml:space="preserve">Čl. 8</w:t>
      </w:r>
      <w:r>
        <w:br/>
        <w:t xml:space="preserve">Účinnost</w:t>
      </w:r>
      <w:r/>
    </w:p>
    <w:p>
      <w:pPr>
        <w:pStyle w:val="831"/>
        <w:pBdr/>
        <w:spacing/>
        <w:ind/>
        <w:rPr/>
      </w:pPr>
      <w:r>
        <w:t xml:space="preserve">Tato vyhláška nabývá účinnosti počátkem patnáctého dne následujícího po dni jejího vyhlášení.</w:t>
      </w:r>
      <w:r/>
    </w:p>
    <w:p>
      <w:pPr>
        <w:pStyle w:val="831"/>
        <w:pBdr/>
        <w:spacing/>
        <w:ind/>
        <w:rPr/>
      </w:pPr>
      <w:r/>
      <w:r/>
    </w:p>
    <w:tbl>
      <w:tblPr>
        <w:tblW w:w="9641" w:type="dxa"/>
        <w:tblBorders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>
        <w:trPr>
          <w:trHeight w:val="1134" w:hRule="exact"/>
        </w:trPr>
        <w:tc>
          <w:tcPr>
            <w:shd w:val="clear" w:color="auto" w:fill="auto"/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833"/>
              <w:pBdr/>
              <w:spacing/>
              <w:ind/>
              <w:rPr/>
            </w:pPr>
            <w:r>
              <w:t xml:space="preserve">MUDr. Renáta Švadlenková v. r.</w:t>
            </w:r>
            <w:r>
              <w:br/>
              <w:t xml:space="preserve"> starostka</w:t>
            </w:r>
            <w:r/>
          </w:p>
        </w:tc>
        <w:tc>
          <w:tcPr>
            <w:shd w:val="clear" w:color="auto" w:fill="auto"/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1" w:type="dxa"/>
            <w:vAlign w:val="bottom"/>
            <w:textDirection w:val="lrTb"/>
            <w:noWrap w:val="false"/>
          </w:tcPr>
          <w:p>
            <w:pPr>
              <w:pStyle w:val="833"/>
              <w:pBdr/>
              <w:spacing/>
              <w:ind/>
              <w:rPr/>
            </w:pPr>
            <w:r>
              <w:t xml:space="preserve">Marcela Ambrusová v. r.</w:t>
            </w:r>
            <w:r>
              <w:br/>
              <w:t xml:space="preserve"> místostarostka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4" w:orient="portrait" w:w="11909"/>
      <w:pgMar w:top="1134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ingFang SC"/>
  <w:font w:name="Songti SC"/>
  <w:font w:name="Arial">
    <w:panose1 w:val="020B0604020202020204"/>
  </w:font>
  <w:font w:name="Arial Unicode MS">
    <w:panose1 w:val="020B0604020202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rPr>
          <w:color w:val="000000"/>
        </w:rP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10o odst. 1 zákona o místních poplatcích</w:t>
      </w:r>
      <w:r/>
    </w:p>
  </w:footnote>
  <w:footnote w:id="3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15 odst. 1 zákona o místních poplatcích</w:t>
      </w:r>
      <w:r/>
    </w:p>
  </w:footnote>
  <w:footnote w:id="4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10e zákona o místních poplatcích</w:t>
      </w:r>
      <w:r/>
    </w:p>
  </w:footnote>
  <w:footnote w:id="5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na </w:t>
      </w:r>
      <w:r>
        <w:t xml:space="preserve">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</w:t>
      </w:r>
      <w:r>
        <w:t xml:space="preserve">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  <w:r/>
    </w:p>
  </w:footnote>
  <w:footnote w:id="6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10p zákona o místních poplatcích</w:t>
      </w:r>
      <w:r/>
    </w:p>
  </w:footnote>
  <w:footnote w:id="7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14a odst. 1 a 2 zákona o místních poplatcích; v ohlášení poplatník uvede zejména své identifikační údaje a skutečnosti rozhodné pro stanovení poplatku</w:t>
      </w:r>
      <w:r/>
    </w:p>
  </w:footnote>
  <w:footnote w:id="8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14a odst. 4 zákona o místních poplatcích</w:t>
      </w:r>
      <w:r/>
    </w:p>
  </w:footnote>
  <w:footnote w:id="9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10h odst. 2 ve spojení s § 10o odst. 2 zákona o místních poplatcích</w:t>
      </w:r>
      <w:r/>
    </w:p>
  </w:footnote>
  <w:footnote w:id="10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10h odst. 3 ve spojení s § 10o odst. 2 zákona o místních poplatcích</w:t>
      </w:r>
      <w:r/>
    </w:p>
  </w:footnote>
  <w:footnote w:id="11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10g zákona o místních poplatcích</w:t>
      </w:r>
      <w:r/>
    </w:p>
  </w:footnote>
  <w:footnote w:id="12">
    <w:p>
      <w:pPr>
        <w:pStyle w:val="834"/>
        <w:pBdr/>
        <w:spacing/>
        <w:ind/>
        <w:rPr/>
      </w:pPr>
      <w:r>
        <w:rPr>
          <w:rStyle w:val="838"/>
        </w:rPr>
        <w:footnoteRef/>
      </w:r>
      <w:r>
        <w:t xml:space="preserve">§ 14a odst. 6 zákona o místních poplatcích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)"/>
      <w:numFmt w:val="decimal"/>
      <w:pPr>
        <w:pBdr/>
        <w:spacing/>
        <w:ind w:hanging="567" w:left="567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927"/>
      </w:pPr>
      <w:rPr/>
      <w:start w:val="1"/>
      <w:suff w:val="tab"/>
    </w:lvl>
    <w:lvl w:ilvl="2">
      <w:isLgl w:val="false"/>
      <w:lvlJc w:val="left"/>
      <w:lvlText w:val="()"/>
      <w:numFmt w:val="decimal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()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()"/>
      <w:numFmt w:val="decimal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()"/>
      <w:numFmt w:val="decimal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()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()"/>
      <w:numFmt w:val="decimal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()"/>
      <w:numFmt w:val="decimal"/>
      <w:pPr>
        <w:pBdr/>
        <w:spacing/>
        <w:ind w:hanging="360" w:left="3600"/>
      </w:pPr>
      <w:rPr/>
      <w:start w:val="1"/>
      <w:suff w:val="tab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ongti SC" w:cs="Arial Unicode MS"/>
        <w:sz w:val="24"/>
        <w:szCs w:val="24"/>
        <w:lang w:val="cs-CZ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82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8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8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817"/>
    <w:next w:val="81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817"/>
    <w:next w:val="817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817"/>
    <w:next w:val="81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817"/>
    <w:next w:val="817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817"/>
    <w:next w:val="81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817"/>
    <w:next w:val="81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817"/>
    <w:next w:val="81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820"/>
    <w:link w:val="8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820"/>
    <w:link w:val="8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2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2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2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2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2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2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2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820"/>
    <w:link w:val="82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817"/>
    <w:next w:val="81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82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817"/>
    <w:next w:val="81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82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817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82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817"/>
    <w:next w:val="81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82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2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81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8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2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2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2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817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820"/>
    <w:link w:val="175"/>
    <w:uiPriority w:val="99"/>
    <w:pPr>
      <w:pBdr/>
      <w:spacing/>
      <w:ind/>
    </w:pPr>
  </w:style>
  <w:style w:type="paragraph" w:styleId="177">
    <w:name w:val="Footer"/>
    <w:basedOn w:val="817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820"/>
    <w:link w:val="177"/>
    <w:uiPriority w:val="99"/>
    <w:pPr>
      <w:pBdr/>
      <w:spacing/>
      <w:ind/>
    </w:pPr>
  </w:style>
  <w:style w:type="paragraph" w:styleId="180">
    <w:name w:val="footnote text"/>
    <w:basedOn w:val="81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820"/>
    <w:link w:val="180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81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82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82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82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82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817"/>
    <w:next w:val="817"/>
    <w:uiPriority w:val="39"/>
    <w:unhideWhenUsed/>
    <w:pPr>
      <w:pBdr/>
      <w:spacing w:after="100"/>
      <w:ind/>
    </w:pPr>
  </w:style>
  <w:style w:type="paragraph" w:styleId="189">
    <w:name w:val="toc 2"/>
    <w:basedOn w:val="817"/>
    <w:next w:val="817"/>
    <w:uiPriority w:val="39"/>
    <w:unhideWhenUsed/>
    <w:pPr>
      <w:pBdr/>
      <w:spacing w:after="100"/>
      <w:ind w:left="220"/>
    </w:pPr>
  </w:style>
  <w:style w:type="paragraph" w:styleId="190">
    <w:name w:val="toc 3"/>
    <w:basedOn w:val="817"/>
    <w:next w:val="817"/>
    <w:uiPriority w:val="39"/>
    <w:unhideWhenUsed/>
    <w:pPr>
      <w:pBdr/>
      <w:spacing w:after="100"/>
      <w:ind w:left="440"/>
    </w:pPr>
  </w:style>
  <w:style w:type="paragraph" w:styleId="191">
    <w:name w:val="toc 4"/>
    <w:basedOn w:val="817"/>
    <w:next w:val="817"/>
    <w:uiPriority w:val="39"/>
    <w:unhideWhenUsed/>
    <w:pPr>
      <w:pBdr/>
      <w:spacing w:after="100"/>
      <w:ind w:left="660"/>
    </w:pPr>
  </w:style>
  <w:style w:type="paragraph" w:styleId="192">
    <w:name w:val="toc 5"/>
    <w:basedOn w:val="817"/>
    <w:next w:val="817"/>
    <w:uiPriority w:val="39"/>
    <w:unhideWhenUsed/>
    <w:pPr>
      <w:pBdr/>
      <w:spacing w:after="100"/>
      <w:ind w:left="880"/>
    </w:pPr>
  </w:style>
  <w:style w:type="paragraph" w:styleId="193">
    <w:name w:val="toc 6"/>
    <w:basedOn w:val="817"/>
    <w:next w:val="817"/>
    <w:uiPriority w:val="39"/>
    <w:unhideWhenUsed/>
    <w:pPr>
      <w:pBdr/>
      <w:spacing w:after="100"/>
      <w:ind w:left="1100"/>
    </w:pPr>
  </w:style>
  <w:style w:type="paragraph" w:styleId="194">
    <w:name w:val="toc 7"/>
    <w:basedOn w:val="817"/>
    <w:next w:val="817"/>
    <w:uiPriority w:val="39"/>
    <w:unhideWhenUsed/>
    <w:pPr>
      <w:pBdr/>
      <w:spacing w:after="100"/>
      <w:ind w:left="1320"/>
    </w:pPr>
  </w:style>
  <w:style w:type="paragraph" w:styleId="195">
    <w:name w:val="toc 8"/>
    <w:basedOn w:val="817"/>
    <w:next w:val="817"/>
    <w:uiPriority w:val="39"/>
    <w:unhideWhenUsed/>
    <w:pPr>
      <w:pBdr/>
      <w:spacing w:after="100"/>
      <w:ind w:left="1540"/>
    </w:pPr>
  </w:style>
  <w:style w:type="paragraph" w:styleId="196">
    <w:name w:val="toc 9"/>
    <w:basedOn w:val="817"/>
    <w:next w:val="817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817"/>
    <w:next w:val="817"/>
    <w:uiPriority w:val="99"/>
    <w:unhideWhenUsed/>
    <w:pPr>
      <w:pBdr/>
      <w:spacing w:after="0" w:afterAutospacing="0"/>
      <w:ind/>
    </w:pPr>
  </w:style>
  <w:style w:type="paragraph" w:styleId="817" w:default="1">
    <w:name w:val="Normal"/>
    <w:qFormat/>
    <w:pPr>
      <w:pBdr/>
      <w:spacing/>
      <w:ind/>
    </w:pPr>
  </w:style>
  <w:style w:type="paragraph" w:styleId="818">
    <w:name w:val="Heading 1"/>
    <w:basedOn w:val="824"/>
    <w:next w:val="825"/>
    <w:uiPriority w:val="9"/>
    <w:qFormat/>
    <w:pPr>
      <w:pBdr/>
      <w:spacing w:after="238" w:before="238"/>
      <w:ind/>
      <w:jc w:val="center"/>
      <w:outlineLvl w:val="0"/>
    </w:pPr>
    <w:rPr>
      <w:b/>
      <w:bCs/>
      <w:sz w:val="24"/>
      <w:szCs w:val="24"/>
    </w:rPr>
  </w:style>
  <w:style w:type="paragraph" w:styleId="819">
    <w:name w:val="Heading 2"/>
    <w:basedOn w:val="824"/>
    <w:next w:val="825"/>
    <w:uiPriority w:val="9"/>
    <w:unhideWhenUsed/>
    <w:qFormat/>
    <w:pPr>
      <w:pBdr/>
      <w:spacing w:before="360" w:line="276" w:lineRule="auto"/>
      <w:ind/>
      <w:jc w:val="center"/>
      <w:outlineLvl w:val="1"/>
    </w:pPr>
    <w:rPr>
      <w:b/>
      <w:bCs/>
      <w:sz w:val="24"/>
      <w:szCs w:val="24"/>
    </w:rPr>
  </w:style>
  <w:style w:type="character" w:styleId="820" w:default="1">
    <w:name w:val="Default Paragraph Font"/>
    <w:uiPriority w:val="1"/>
    <w:semiHidden/>
    <w:unhideWhenUsed/>
    <w:pPr>
      <w:pBdr/>
      <w:spacing/>
      <w:ind/>
    </w:pPr>
  </w:style>
  <w:style w:type="table" w:styleId="82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2" w:default="1">
    <w:name w:val="No List"/>
    <w:uiPriority w:val="99"/>
    <w:semiHidden/>
    <w:unhideWhenUsed/>
    <w:pPr>
      <w:pBdr/>
      <w:spacing/>
      <w:ind/>
    </w:pPr>
  </w:style>
  <w:style w:type="paragraph" w:styleId="823" w:customStyle="1">
    <w:name w:val="Standard"/>
    <w:pPr>
      <w:pBdr/>
      <w:spacing/>
      <w:ind/>
    </w:pPr>
  </w:style>
  <w:style w:type="paragraph" w:styleId="824" w:customStyle="1">
    <w:name w:val="Heading"/>
    <w:basedOn w:val="823"/>
    <w:next w:val="825"/>
    <w:pPr>
      <w:keepNext w:val="true"/>
      <w:pBdr/>
      <w:spacing w:after="120" w:before="240"/>
      <w:ind/>
    </w:pPr>
    <w:rPr>
      <w:rFonts w:ascii="Arial" w:hAnsi="Arial" w:eastAsia="PingFang SC"/>
      <w:sz w:val="28"/>
      <w:szCs w:val="28"/>
    </w:rPr>
  </w:style>
  <w:style w:type="paragraph" w:styleId="825" w:customStyle="1">
    <w:name w:val="Text body"/>
    <w:basedOn w:val="823"/>
    <w:pPr>
      <w:pBdr/>
      <w:spacing w:after="140" w:line="276" w:lineRule="auto"/>
      <w:ind/>
    </w:pPr>
    <w:rPr>
      <w:rFonts w:ascii="Arial" w:hAnsi="Arial" w:eastAsia="Arial" w:cs="Arial"/>
    </w:rPr>
  </w:style>
  <w:style w:type="paragraph" w:styleId="826">
    <w:name w:val="List"/>
    <w:basedOn w:val="825"/>
    <w:pPr>
      <w:pBdr/>
      <w:spacing/>
      <w:ind/>
    </w:pPr>
    <w:rPr>
      <w:rFonts w:cs="Arial Unicode MS"/>
    </w:rPr>
  </w:style>
  <w:style w:type="paragraph" w:styleId="827">
    <w:name w:val="Caption"/>
    <w:basedOn w:val="823"/>
    <w:pPr>
      <w:suppressLineNumbers w:val="true"/>
      <w:pBdr/>
      <w:spacing w:after="120" w:before="120"/>
      <w:ind/>
    </w:pPr>
    <w:rPr>
      <w:i/>
      <w:iCs/>
    </w:rPr>
  </w:style>
  <w:style w:type="paragraph" w:styleId="828" w:customStyle="1">
    <w:name w:val="Index"/>
    <w:basedOn w:val="823"/>
    <w:pPr>
      <w:suppressLineNumbers w:val="true"/>
      <w:pBdr/>
      <w:spacing/>
      <w:ind/>
    </w:pPr>
  </w:style>
  <w:style w:type="paragraph" w:styleId="829">
    <w:name w:val="Title"/>
    <w:basedOn w:val="824"/>
    <w:next w:val="825"/>
    <w:uiPriority w:val="10"/>
    <w:qFormat/>
    <w:pPr>
      <w:pBdr/>
      <w:spacing/>
      <w:ind/>
      <w:jc w:val="center"/>
    </w:pPr>
    <w:rPr>
      <w:b/>
      <w:bCs/>
      <w:sz w:val="24"/>
      <w:szCs w:val="24"/>
    </w:rPr>
  </w:style>
  <w:style w:type="paragraph" w:styleId="830" w:customStyle="1">
    <w:name w:val="UvodniVeta"/>
    <w:basedOn w:val="825"/>
    <w:pPr>
      <w:pBdr/>
      <w:spacing w:after="120" w:before="62"/>
      <w:ind/>
      <w:jc w:val="both"/>
    </w:pPr>
    <w:rPr>
      <w:sz w:val="22"/>
      <w:szCs w:val="22"/>
    </w:rPr>
  </w:style>
  <w:style w:type="paragraph" w:styleId="831" w:customStyle="1">
    <w:name w:val="Odstavec"/>
    <w:basedOn w:val="825"/>
    <w:pPr>
      <w:pBdr/>
      <w:tabs>
        <w:tab w:val="left" w:leader="none" w:pos="567"/>
      </w:tabs>
      <w:spacing w:after="120"/>
      <w:ind/>
      <w:jc w:val="both"/>
    </w:pPr>
    <w:rPr>
      <w:sz w:val="22"/>
      <w:szCs w:val="22"/>
    </w:rPr>
  </w:style>
  <w:style w:type="paragraph" w:styleId="832" w:customStyle="1">
    <w:name w:val="Table Contents"/>
    <w:basedOn w:val="823"/>
    <w:pPr>
      <w:widowControl w:val="false"/>
      <w:suppressLineNumbers w:val="true"/>
      <w:pBdr/>
      <w:spacing/>
      <w:ind/>
    </w:pPr>
  </w:style>
  <w:style w:type="paragraph" w:styleId="833" w:customStyle="1">
    <w:name w:val="PodpisovePole"/>
    <w:basedOn w:val="832"/>
    <w:pPr>
      <w:pBdr/>
      <w:spacing/>
      <w:ind/>
      <w:jc w:val="center"/>
    </w:pPr>
    <w:rPr>
      <w:rFonts w:ascii="Arial" w:hAnsi="Arial" w:eastAsia="Arial" w:cs="Arial"/>
      <w:sz w:val="22"/>
      <w:szCs w:val="22"/>
    </w:rPr>
  </w:style>
  <w:style w:type="paragraph" w:styleId="834" w:customStyle="1">
    <w:name w:val="Footnote"/>
    <w:basedOn w:val="823"/>
    <w:pPr>
      <w:suppressLineNumbers w:val="true"/>
      <w:pBdr/>
      <w:spacing/>
      <w:ind w:hanging="170" w:left="170"/>
    </w:pPr>
    <w:rPr>
      <w:rFonts w:ascii="Arial" w:hAnsi="Arial" w:eastAsia="Arial" w:cs="Arial"/>
      <w:sz w:val="18"/>
      <w:szCs w:val="18"/>
    </w:rPr>
  </w:style>
  <w:style w:type="character" w:styleId="835" w:customStyle="1">
    <w:name w:val="Numbering Symbols"/>
    <w:pPr>
      <w:pBdr/>
      <w:spacing/>
      <w:ind/>
    </w:pPr>
  </w:style>
  <w:style w:type="character" w:styleId="836" w:customStyle="1">
    <w:name w:val="Footnote Symbol"/>
    <w:pPr>
      <w:pBdr/>
      <w:spacing/>
      <w:ind/>
    </w:pPr>
  </w:style>
  <w:style w:type="character" w:styleId="837" w:customStyle="1">
    <w:name w:val="Footnote anchor"/>
    <w:pPr>
      <w:pBdr/>
      <w:spacing/>
      <w:ind/>
    </w:pPr>
    <w:rPr>
      <w:position w:val="0"/>
      <w:vertAlign w:val="superscript"/>
    </w:rPr>
  </w:style>
  <w:style w:type="character" w:styleId="838">
    <w:name w:val="footnote reference"/>
    <w:basedOn w:val="820"/>
    <w:pPr>
      <w:pBdr/>
      <w:spacing/>
      <w:ind/>
    </w:pPr>
    <w:rPr>
      <w:position w:val="0"/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Mistostarosta</cp:lastModifiedBy>
  <cp:revision>6</cp:revision>
  <dcterms:created xsi:type="dcterms:W3CDTF">2025-05-02T07:58:00Z</dcterms:created>
  <dcterms:modified xsi:type="dcterms:W3CDTF">2025-05-14T14:35:42Z</dcterms:modified>
</cp:coreProperties>
</file>