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lineRule="auto" w:line="240" w:before="240" w:after="120"/>
        <w:rPr/>
      </w:pPr>
      <w:r>
        <w:rPr/>
        <w:t>Obec Hošťalovice</w:t>
        <w:br/>
        <w:t>Zastupitelstvo obce Hošťalovice</w:t>
      </w:r>
    </w:p>
    <w:p>
      <w:pPr>
        <w:pStyle w:val="Nadpis1"/>
        <w:numPr>
          <w:ilvl w:val="0"/>
          <w:numId w:val="1"/>
        </w:numPr>
        <w:tabs>
          <w:tab w:val="clear" w:pos="720"/>
          <w:tab w:val="left" w:pos="0" w:leader="none"/>
        </w:tabs>
        <w:ind w:left="0" w:hanging="0"/>
        <w:rPr/>
      </w:pPr>
      <w:r>
        <w:rPr/>
        <w:t>Obecně závazná vyhláška 1/2025 obce Hošťalovice</w:t>
        <w:br/>
        <w:t>o místním poplatku za obecní systém odpadového hospodářství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62" w:after="12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Zastupitelstvo obce Hošťalovice se na svém zasedání dne  18.</w:t>
      </w:r>
      <w:r>
        <w:rPr>
          <w:rFonts w:eastAsia="Arial" w:cs="Arial" w:ascii="Arial" w:hAnsi="Arial"/>
          <w:sz w:val="22"/>
          <w:szCs w:val="22"/>
        </w:rPr>
        <w:t>11.2024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usnesením </w:t>
      </w:r>
      <w:r>
        <w:rPr>
          <w:rFonts w:eastAsia="Arial" w:cs="Arial" w:ascii="Arial" w:hAnsi="Arial"/>
          <w:sz w:val="22"/>
          <w:szCs w:val="22"/>
        </w:rPr>
        <w:t>7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/202</w:t>
      </w:r>
      <w:r>
        <w:rPr>
          <w:rFonts w:eastAsia="Arial" w:cs="Arial" w:ascii="Arial" w:hAnsi="Arial"/>
          <w:sz w:val="22"/>
          <w:szCs w:val="22"/>
        </w:rPr>
        <w:t xml:space="preserve">4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</w:t>
      </w:r>
    </w:p>
    <w:p>
      <w:pPr>
        <w:pStyle w:val="Nadpis2"/>
        <w:numPr>
          <w:ilvl w:val="1"/>
          <w:numId w:val="1"/>
        </w:numPr>
        <w:tabs>
          <w:tab w:val="clear" w:pos="720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Obec Hošťalovice touto vyhláškou zavádí místní poplatek za obecní systém odpadového hospodářství (dále jen „poplatek“).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Poplatkovým obdobím poplatku je kalendářní rok</w:t>
      </w:r>
      <w:r>
        <w:rPr>
          <w:rStyle w:val="Ukotvenpoznmkypodarou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shd w:fill="auto" w:val="clear"/>
          <w:vertAlign w:val="superscript"/>
        </w:rPr>
        <w:footnoteReference w:id="2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Správcem poplatku je obecní úřad</w:t>
      </w:r>
      <w:r>
        <w:rPr>
          <w:rStyle w:val="Ukotvenpoznmkypodarou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shd w:fill="auto" w:val="clear"/>
          <w:vertAlign w:val="superscript"/>
        </w:rPr>
        <w:footnoteReference w:id="3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adpis2"/>
        <w:numPr>
          <w:ilvl w:val="1"/>
          <w:numId w:val="1"/>
        </w:numPr>
        <w:tabs>
          <w:tab w:val="clear" w:pos="720"/>
          <w:tab w:val="left" w:pos="0" w:leader="none"/>
        </w:tabs>
        <w:ind w:left="0" w:hanging="0"/>
        <w:rPr/>
      </w:pPr>
      <w:r>
        <w:rPr/>
        <w:t>Čl. 2</w:t>
        <w:br/>
        <w:t>Poplatník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Poplatníkem poplatku je</w:t>
      </w:r>
      <w:r>
        <w:rPr>
          <w:rStyle w:val="Ukotvenpoznmkypodarou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shd w:fill="auto" w:val="clear"/>
          <w:vertAlign w:val="superscript"/>
        </w:rPr>
        <w:footnoteReference w:id="4"/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3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fyzická osoba přihlášená v obci</w:t>
      </w:r>
      <w:r>
        <w:rPr>
          <w:rStyle w:val="Ukotvenpoznmkypodarou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shd w:fill="auto" w:val="clear"/>
          <w:vertAlign w:val="superscript"/>
        </w:rPr>
        <w:footnoteReference w:id="5"/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3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nebo vlastník nemovité věci zahrnující byt, rodinný dům nebo stavbu pro rodinnou rekreaci, ve které není přihlášen</w:t>
      </w:r>
      <w:r>
        <w:rPr>
          <w:rFonts w:eastAsia="Arial" w:cs="Arial" w:ascii="Arial" w:hAnsi="Arial"/>
          <w:sz w:val="22"/>
          <w:szCs w:val="22"/>
        </w:rPr>
        <w:t>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žádná fyzická osoba a která je umístěna na území obce.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Spoluvlastníci nemovité věci zahrnující byt, rodinný dům nebo stavbu pro rodinnou rekreaci jsou povinni plnit poplatkovou povinnost společně a nerozdílně</w:t>
      </w:r>
      <w:r>
        <w:rPr>
          <w:rStyle w:val="Ukotvenpoznmkypodarou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shd w:fill="auto" w:val="clear"/>
          <w:vertAlign w:val="superscript"/>
        </w:rPr>
        <w:footnoteReference w:id="6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adpis2"/>
        <w:numPr>
          <w:ilvl w:val="1"/>
          <w:numId w:val="1"/>
        </w:numPr>
        <w:tabs>
          <w:tab w:val="clear" w:pos="720"/>
          <w:tab w:val="left" w:pos="0" w:leader="none"/>
        </w:tabs>
        <w:ind w:left="0" w:hanging="0"/>
        <w:rPr/>
      </w:pPr>
      <w:r>
        <w:rPr/>
        <w:t>Čl. 3</w:t>
        <w:br/>
        <w:t>Ohlašovací povinnost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Poplatník je povinen podat správci poplatku ohlášení nejpozději do 15 dnů ode dne vzniku své poplatkové povinnosti; údaje uváděné v ohlášení upravuje zákon</w:t>
      </w:r>
      <w:r>
        <w:rPr>
          <w:rStyle w:val="Ukotvenpoznmkypodarou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shd w:fill="auto" w:val="clear"/>
          <w:vertAlign w:val="superscript"/>
        </w:rPr>
        <w:footnoteReference w:id="7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Dojde-li ke změně údajů uvedených v ohlášení, je poplatník povinen tuto změnu oznámit do 15 dnů ode dne, kdy nastala</w:t>
      </w:r>
      <w:r>
        <w:rPr>
          <w:rStyle w:val="Ukotvenpoznmkypodarou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shd w:fill="auto" w:val="clear"/>
          <w:vertAlign w:val="superscript"/>
        </w:rPr>
        <w:footnoteReference w:id="8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adpis2"/>
        <w:numPr>
          <w:ilvl w:val="1"/>
          <w:numId w:val="1"/>
        </w:numPr>
        <w:tabs>
          <w:tab w:val="clear" w:pos="720"/>
          <w:tab w:val="left" w:pos="0" w:leader="none"/>
        </w:tabs>
        <w:ind w:left="0" w:hanging="0"/>
        <w:rPr/>
      </w:pPr>
      <w:r>
        <w:rPr/>
        <w:t>Čl. 4</w:t>
        <w:br/>
        <w:t>Sazba poplatku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Sazba poplatku za kalendářní rok činí </w:t>
      </w:r>
      <w:r>
        <w:rPr>
          <w:rFonts w:eastAsia="Arial" w:cs="Arial" w:ascii="Arial" w:hAnsi="Arial"/>
          <w:sz w:val="22"/>
          <w:szCs w:val="22"/>
        </w:rPr>
        <w:t>700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Kč.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 osob, které v příslušném kalendářním roce dovrší nejvýše 15 let věku a osob, které v příslušném kalendářním roce dovrší 75 a více let věku činí za kalendářní rok 3</w:t>
      </w:r>
      <w:r>
        <w:rPr>
          <w:rFonts w:eastAsia="Arial" w:cs="Arial" w:ascii="Arial" w:hAnsi="Arial"/>
          <w:sz w:val="22"/>
          <w:szCs w:val="22"/>
        </w:rPr>
        <w:t>50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,-.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Poplatek se v případě, že poplatková povinnost vznikla z důvodu přihlášení fyzické osoby v obci, snižuje o jednu dvanáctinu za každý kalendářní měsíc, na jehož konci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5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není tato fyzická osoba přihlášena v obci,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5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nebo je tato fyzická osoba od poplatku osvobozena.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5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je v této nemovité věci přihlášena alespoň 1 fyzická osoba,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5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poplatník nevlastní tuto nemovitou věc,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5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nebo je poplatník od poplatku osvobozen.</w:t>
      </w:r>
    </w:p>
    <w:p>
      <w:pPr>
        <w:pStyle w:val="Nadpis2"/>
        <w:numPr>
          <w:ilvl w:val="1"/>
          <w:numId w:val="1"/>
        </w:numPr>
        <w:tabs>
          <w:tab w:val="clear" w:pos="720"/>
          <w:tab w:val="left" w:pos="0" w:leader="none"/>
        </w:tabs>
        <w:ind w:left="0" w:hanging="0"/>
        <w:rPr/>
      </w:pPr>
      <w:r>
        <w:rPr/>
        <w:t>Čl. 5</w:t>
        <w:br/>
        <w:t>Splatnost poplatku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Poplatek je splatný nejpozději do 31. května příslušného kalendářního roku.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Vznikne-li poplatková povinnost po datu splatnosti uvedeném v odstavci 1, je poplatek splatný nejpozději do patnáctého dne měsíce, který následuje po měsíci, ve kterém poplatková povinnost vznikla.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Lhůta splatnosti neskončí poplatníkovi dříve než lhůta pro podání ohlášení podle čl. 3 odst. 1 této vyhlášky.</w:t>
      </w:r>
    </w:p>
    <w:p>
      <w:pPr>
        <w:pStyle w:val="Nadpis2"/>
        <w:numPr>
          <w:ilvl w:val="1"/>
          <w:numId w:val="1"/>
        </w:numPr>
        <w:tabs>
          <w:tab w:val="clear" w:pos="720"/>
          <w:tab w:val="left" w:pos="0" w:leader="none"/>
        </w:tabs>
        <w:ind w:left="0" w:hanging="0"/>
        <w:rPr/>
      </w:pPr>
      <w:r>
        <w:rPr/>
        <w:t>Čl. 6</w:t>
        <w:br/>
        <w:t xml:space="preserve"> Osvobození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Od poplatku je osvobozena osoba, které poplatková povinnost vznikla z důvodu přihlášení v obci a která je</w:t>
      </w:r>
      <w:r>
        <w:rPr>
          <w:rStyle w:val="Ukotvenpoznmkypodarou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shd w:fill="auto" w:val="clear"/>
          <w:vertAlign w:val="superscript"/>
        </w:rPr>
        <w:footnoteReference w:id="9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: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7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poplatníkem poplatku za odkládání komunálního odpadu z nemovité věci v jiné obci a má v této jiné obci bydliště,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7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7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7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umístěna v domově pro osoby se zdravotním postižením, domově pro seniory, domově se zvláštním režimem nebo v chráněném bydlení,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7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nebo na základě zákona omezena na osobní svobodě s výjimkou osoby vykonávající trest domácího vězení.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Od poplatku se osvobozuje osoba, které poplatková povinnost vznikla z důvodu přihlášení v obci a která: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7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je přihlášená v sídle ohlašovny, pokud se celoročně zdržuje mimo území obce,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7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je držitelem průkazu ZTP nebo ZTP/P.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 případě, že poplatník nesplní povinnost ohlásit údaj rozhodný pro osvobození ve lhůtách stanovených touto vyhláškou nebo zákonem, nárok na osvobození zaniká</w:t>
      </w:r>
      <w:r>
        <w:rPr>
          <w:rStyle w:val="Ukotvenpoznmkypodarou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shd w:fill="auto" w:val="clear"/>
          <w:vertAlign w:val="superscript"/>
        </w:rPr>
        <w:footnoteReference w:id="10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adpis2"/>
        <w:numPr>
          <w:ilvl w:val="1"/>
          <w:numId w:val="1"/>
        </w:numPr>
        <w:tabs>
          <w:tab w:val="clear" w:pos="720"/>
          <w:tab w:val="left" w:pos="0" w:leader="none"/>
        </w:tabs>
        <w:ind w:left="0" w:hanging="0"/>
        <w:rPr/>
      </w:pPr>
      <w:r>
        <w:rPr/>
        <w:t>Čl. 7</w:t>
        <w:br/>
        <w:t>Přechodné a zrušovací ustanovení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Poplatkové povinnosti vzniklé před nabytím účinnosti této vyhlášky se posuzují podle dosavadních právních předpisů.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Zrušuje se obecně závazná vyhláška č. </w:t>
      </w:r>
      <w:r>
        <w:rPr>
          <w:rFonts w:eastAsia="Arial" w:cs="Arial" w:ascii="Arial" w:hAnsi="Arial"/>
          <w:sz w:val="22"/>
          <w:szCs w:val="22"/>
        </w:rPr>
        <w:t>1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/202</w:t>
      </w:r>
      <w:r>
        <w:rPr>
          <w:rFonts w:eastAsia="Arial" w:cs="Arial" w:ascii="Arial" w:hAnsi="Arial"/>
          <w:sz w:val="22"/>
          <w:szCs w:val="22"/>
        </w:rPr>
        <w:t>4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o místním poplatku za obecní systém odpadového hospodářství, ze dne 13. prosince 202</w:t>
      </w:r>
      <w:r>
        <w:rPr>
          <w:rFonts w:eastAsia="Arial" w:cs="Arial" w:ascii="Arial" w:hAnsi="Arial"/>
          <w:sz w:val="22"/>
          <w:szCs w:val="22"/>
        </w:rPr>
        <w:t>3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adpis2"/>
        <w:numPr>
          <w:ilvl w:val="1"/>
          <w:numId w:val="1"/>
        </w:numPr>
        <w:tabs>
          <w:tab w:val="clear" w:pos="720"/>
          <w:tab w:val="left" w:pos="0" w:leader="none"/>
        </w:tabs>
        <w:ind w:left="0" w:hanging="0"/>
        <w:rPr/>
      </w:pPr>
      <w:r>
        <w:rPr/>
        <w:t>Čl. 8</w:t>
        <w:br/>
        <w:t>Účinnost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Tato vyhláška nabývá účinnosti dnem 1. ledna 202</w:t>
      </w:r>
      <w:r>
        <w:rPr>
          <w:rFonts w:eastAsia="Arial" w:cs="Arial" w:ascii="Arial" w:hAnsi="Arial"/>
          <w:sz w:val="22"/>
          <w:szCs w:val="22"/>
        </w:rPr>
        <w:t>5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tbl>
      <w:tblPr>
        <w:tblStyle w:val="Table1"/>
        <w:tblW w:w="9641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20"/>
        <w:gridCol w:w="4820"/>
      </w:tblGrid>
      <w:tr>
        <w:trPr>
          <w:trHeight w:val="1134" w:hRule="atLeast"/>
        </w:trPr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Jiří Jelínek v.r.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místostarosta</w:t>
            </w:r>
          </w:p>
        </w:tc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0" w:right="0" w:hanging="17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§ 10o odst. 1 zákona o místních poplatcích</w:t>
      </w:r>
    </w:p>
  </w:footnote>
  <w:footnote w:id="3"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0" w:right="0" w:hanging="17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§ 15 odst. 1 zákona o místních poplatcích</w:t>
      </w:r>
    </w:p>
  </w:footnote>
  <w:footnote w:id="4"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0" w:right="0" w:hanging="17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§ 10e zákona o místních poplatcích</w:t>
      </w:r>
    </w:p>
  </w:footnote>
  <w:footnote w:id="5"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0" w:right="0" w:hanging="17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0" w:right="0" w:hanging="17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§ 10p zákona o místních poplatcích</w:t>
      </w:r>
    </w:p>
  </w:footnote>
  <w:footnote w:id="7"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0" w:right="0" w:hanging="17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0" w:right="0" w:hanging="17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§ 14a odst. 4 zákona o místních poplatcích</w:t>
      </w:r>
    </w:p>
  </w:footnote>
  <w:footnote w:id="9"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0" w:right="0" w:hanging="17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§ 10g zákona o místních poplatcích</w:t>
      </w:r>
    </w:p>
  </w:footnote>
  <w:footnote w:id="10"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0" w:right="0" w:hanging="17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spacing w:lineRule="auto" w:line="240" w:before="238" w:after="238"/>
      <w:ind w:left="0" w:hanging="0"/>
      <w:jc w:val="center"/>
    </w:pPr>
    <w:rPr>
      <w:rFonts w:ascii="Arial" w:hAnsi="Arial" w:eastAsia="Arial" w:cs="Arial"/>
      <w:b/>
      <w:sz w:val="24"/>
      <w:szCs w:val="24"/>
    </w:rPr>
  </w:style>
  <w:style w:type="paragraph" w:styleId="Nadpis2">
    <w:name w:val="Heading 2"/>
    <w:basedOn w:val="Normal1"/>
    <w:next w:val="Normal1"/>
    <w:qFormat/>
    <w:pPr>
      <w:keepNext w:val="true"/>
      <w:spacing w:lineRule="auto" w:line="276" w:before="360" w:after="0"/>
      <w:ind w:left="0" w:hanging="0"/>
      <w:jc w:val="center"/>
    </w:pPr>
    <w:rPr>
      <w:rFonts w:ascii="Arial" w:hAnsi="Arial" w:eastAsia="Arial" w:cs="Arial"/>
      <w:b/>
      <w:sz w:val="24"/>
      <w:szCs w:val="24"/>
    </w:rPr>
  </w:style>
  <w:style w:type="paragraph" w:styleId="Nadpis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spacing w:lineRule="auto" w:line="240" w:before="240" w:after="120"/>
      <w:jc w:val="center"/>
    </w:pPr>
    <w:rPr>
      <w:rFonts w:ascii="Arial" w:hAnsi="Arial" w:eastAsia="Arial" w:cs="Arial"/>
      <w:b/>
      <w:sz w:val="24"/>
      <w:szCs w:val="24"/>
    </w:rPr>
  </w:style>
  <w:style w:type="paragraph" w:styleId="Podtitu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oznmkapodarou">
    <w:name w:val="Footnote Text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2</Pages>
  <Words>881</Words>
  <Characters>4824</Characters>
  <CharactersWithSpaces>5620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revision>0</cp:revision>
  <dc:subject/>
  <dc:title/>
</cp:coreProperties>
</file>