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zev"/>
        <w:spacing w:lineRule="auto" w:line="240" w:before="240" w:after="120"/>
        <w:rPr/>
      </w:pPr>
      <w:r>
        <w:rPr/>
        <w:t>Obec Hošťalovice</w:t>
        <w:br/>
        <w:t>Zastupitelstvo obce Hošťalovice</w:t>
      </w:r>
    </w:p>
    <w:p>
      <w:pPr>
        <w:pStyle w:val="Nadpis1"/>
        <w:numPr>
          <w:ilvl w:val="0"/>
          <w:numId w:val="1"/>
        </w:numPr>
        <w:tabs>
          <w:tab w:val="clear" w:pos="720"/>
          <w:tab w:val="left" w:pos="0" w:leader="none"/>
        </w:tabs>
        <w:ind w:left="0" w:hanging="0"/>
        <w:rPr/>
      </w:pPr>
      <w:r>
        <w:rPr/>
        <w:t>Obecně závazná vyhláška obce Hošťalovice</w:t>
        <w:br/>
        <w:t>o místním poplatku za obecní systém odpadového hospodářství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62" w:after="12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Zastupitelstvo obce Hošťalovice se na svém zasedání dne  18.</w:t>
      </w:r>
      <w:r>
        <w:rPr>
          <w:rFonts w:eastAsia="Arial" w:cs="Arial" w:ascii="Arial" w:hAnsi="Arial"/>
          <w:sz w:val="22"/>
          <w:szCs w:val="22"/>
        </w:rPr>
        <w:t>11.2024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 usnesením </w:t>
      </w:r>
      <w:r>
        <w:rPr>
          <w:rFonts w:eastAsia="Arial" w:cs="Arial" w:ascii="Arial" w:hAnsi="Arial"/>
          <w:sz w:val="22"/>
          <w:szCs w:val="22"/>
        </w:rPr>
        <w:t>7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/202</w:t>
      </w:r>
      <w:r>
        <w:rPr>
          <w:rFonts w:eastAsia="Arial" w:cs="Arial" w:ascii="Arial" w:hAnsi="Arial"/>
          <w:sz w:val="22"/>
          <w:szCs w:val="22"/>
        </w:rPr>
        <w:t xml:space="preserve">4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usneslo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„vyhláška“)</w:t>
      </w:r>
    </w:p>
    <w:p>
      <w:pPr>
        <w:pStyle w:val="Nadpis2"/>
        <w:numPr>
          <w:ilvl w:val="1"/>
          <w:numId w:val="1"/>
        </w:numPr>
        <w:tabs>
          <w:tab w:val="clear" w:pos="720"/>
          <w:tab w:val="left" w:pos="0" w:leader="none"/>
        </w:tabs>
        <w:ind w:left="0" w:hanging="0"/>
        <w:rPr/>
      </w:pPr>
      <w:r>
        <w:rPr/>
        <w:t>Čl. 1</w:t>
        <w:br/>
        <w:t>Úvodní ustanovení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2"/>
        </w:numPr>
        <w:pBdr/>
        <w:shd w:val="clear" w:fill="auto"/>
        <w:tabs>
          <w:tab w:val="clear" w:pos="720"/>
          <w:tab w:val="left" w:pos="567" w:leader="none"/>
        </w:tabs>
        <w:spacing w:lineRule="auto" w:line="276" w:before="0" w:after="120"/>
        <w:ind w:left="567" w:right="0" w:hanging="567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Obec Hošťalovice touto vyhláškou zavádí místní poplatek za obecní systém odpadového hospodářství (dále jen „poplatek“).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2"/>
        </w:numPr>
        <w:pBdr/>
        <w:shd w:val="clear" w:fill="auto"/>
        <w:tabs>
          <w:tab w:val="clear" w:pos="720"/>
          <w:tab w:val="left" w:pos="567" w:leader="none"/>
        </w:tabs>
        <w:spacing w:lineRule="auto" w:line="276" w:before="0" w:after="120"/>
        <w:ind w:left="567" w:right="0" w:hanging="567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Poplatkovým obdobím poplatku je kalendářní rok</w:t>
      </w:r>
      <w:r>
        <w:rPr>
          <w:rStyle w:val="Ukotvenpoznmkypodarou"/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shd w:fill="auto" w:val="clear"/>
          <w:vertAlign w:val="superscript"/>
        </w:rPr>
        <w:footnoteReference w:id="2"/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2"/>
        </w:numPr>
        <w:pBdr/>
        <w:shd w:val="clear" w:fill="auto"/>
        <w:tabs>
          <w:tab w:val="clear" w:pos="720"/>
          <w:tab w:val="left" w:pos="567" w:leader="none"/>
        </w:tabs>
        <w:spacing w:lineRule="auto" w:line="276" w:before="0" w:after="120"/>
        <w:ind w:left="567" w:right="0" w:hanging="567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Správcem poplatku je obecní úřad</w:t>
      </w:r>
      <w:r>
        <w:rPr>
          <w:rStyle w:val="Ukotvenpoznmkypodarou"/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shd w:fill="auto" w:val="clear"/>
          <w:vertAlign w:val="superscript"/>
        </w:rPr>
        <w:footnoteReference w:id="3"/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.</w:t>
      </w:r>
    </w:p>
    <w:p>
      <w:pPr>
        <w:pStyle w:val="Nadpis2"/>
        <w:numPr>
          <w:ilvl w:val="1"/>
          <w:numId w:val="1"/>
        </w:numPr>
        <w:tabs>
          <w:tab w:val="clear" w:pos="720"/>
          <w:tab w:val="left" w:pos="0" w:leader="none"/>
        </w:tabs>
        <w:ind w:left="0" w:hanging="0"/>
        <w:rPr/>
      </w:pPr>
      <w:r>
        <w:rPr/>
        <w:t>Čl. 2</w:t>
        <w:br/>
        <w:t>Poplatník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3"/>
        </w:numPr>
        <w:pBdr/>
        <w:shd w:val="clear" w:fill="auto"/>
        <w:tabs>
          <w:tab w:val="clear" w:pos="720"/>
          <w:tab w:val="left" w:pos="567" w:leader="none"/>
        </w:tabs>
        <w:spacing w:lineRule="auto" w:line="276" w:before="0" w:after="120"/>
        <w:ind w:left="567" w:right="0" w:hanging="567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Poplatníkem poplatku je</w:t>
      </w:r>
      <w:r>
        <w:rPr>
          <w:rStyle w:val="Ukotvenpoznmkypodarou"/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shd w:fill="auto" w:val="clear"/>
          <w:vertAlign w:val="superscript"/>
        </w:rPr>
        <w:footnoteReference w:id="4"/>
      </w:r>
    </w:p>
    <w:p>
      <w:pPr>
        <w:pStyle w:val="Normal1"/>
        <w:keepNext w:val="false"/>
        <w:keepLines w:val="false"/>
        <w:pageBreakBefore w:val="false"/>
        <w:widowControl/>
        <w:numPr>
          <w:ilvl w:val="1"/>
          <w:numId w:val="3"/>
        </w:numPr>
        <w:pBdr/>
        <w:shd w:val="clear" w:fill="auto"/>
        <w:tabs>
          <w:tab w:val="clear" w:pos="720"/>
          <w:tab w:val="left" w:pos="567" w:leader="none"/>
        </w:tabs>
        <w:spacing w:lineRule="auto" w:line="276" w:before="0" w:after="120"/>
        <w:ind w:left="964" w:right="0" w:hanging="397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fyzická osoba přihlášená v obci</w:t>
      </w:r>
      <w:r>
        <w:rPr>
          <w:rStyle w:val="Ukotvenpoznmkypodarou"/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shd w:fill="auto" w:val="clear"/>
          <w:vertAlign w:val="superscript"/>
        </w:rPr>
        <w:footnoteReference w:id="5"/>
      </w:r>
    </w:p>
    <w:p>
      <w:pPr>
        <w:pStyle w:val="Normal1"/>
        <w:keepNext w:val="false"/>
        <w:keepLines w:val="false"/>
        <w:pageBreakBefore w:val="false"/>
        <w:widowControl/>
        <w:numPr>
          <w:ilvl w:val="1"/>
          <w:numId w:val="3"/>
        </w:numPr>
        <w:pBdr/>
        <w:shd w:val="clear" w:fill="auto"/>
        <w:tabs>
          <w:tab w:val="clear" w:pos="720"/>
          <w:tab w:val="left" w:pos="567" w:leader="none"/>
        </w:tabs>
        <w:spacing w:lineRule="auto" w:line="276" w:before="0" w:after="120"/>
        <w:ind w:left="964" w:right="0" w:hanging="397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nebo vlastník nemovité věci zahrnující byt, rodinný dům nebo stavbu pro rodinnou rekreaci, ve které není přihlášená žádná fyzická osoba a která je umístěna na území obce.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3"/>
        </w:numPr>
        <w:pBdr/>
        <w:shd w:val="clear" w:fill="auto"/>
        <w:tabs>
          <w:tab w:val="clear" w:pos="720"/>
          <w:tab w:val="left" w:pos="567" w:leader="none"/>
        </w:tabs>
        <w:spacing w:lineRule="auto" w:line="276" w:before="0" w:after="120"/>
        <w:ind w:left="567" w:right="0" w:hanging="567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Spoluvlastníci nemovité věci zahrnující byt, rodinný dům nebo stavbu pro rodinnou rekreaci jsou povinni plnit poplatkovou povinnost společně a nerozdílně</w:t>
      </w:r>
      <w:r>
        <w:rPr>
          <w:rStyle w:val="Ukotvenpoznmkypodarou"/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shd w:fill="auto" w:val="clear"/>
          <w:vertAlign w:val="superscript"/>
        </w:rPr>
        <w:footnoteReference w:id="6"/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.</w:t>
      </w:r>
    </w:p>
    <w:p>
      <w:pPr>
        <w:pStyle w:val="Nadpis2"/>
        <w:numPr>
          <w:ilvl w:val="1"/>
          <w:numId w:val="1"/>
        </w:numPr>
        <w:tabs>
          <w:tab w:val="clear" w:pos="720"/>
          <w:tab w:val="left" w:pos="0" w:leader="none"/>
        </w:tabs>
        <w:ind w:left="0" w:hanging="0"/>
        <w:rPr/>
      </w:pPr>
      <w:r>
        <w:rPr/>
        <w:t>Čl. 3</w:t>
        <w:br/>
        <w:t>Ohlašovací povinnost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4"/>
        </w:numPr>
        <w:pBdr/>
        <w:shd w:val="clear" w:fill="auto"/>
        <w:tabs>
          <w:tab w:val="clear" w:pos="720"/>
          <w:tab w:val="left" w:pos="567" w:leader="none"/>
        </w:tabs>
        <w:spacing w:lineRule="auto" w:line="276" w:before="0" w:after="120"/>
        <w:ind w:left="567" w:right="0" w:hanging="567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Poplatník je povinen podat správci poplatku ohlášení nejpozději do 15 dnů ode dne vzniku své poplatkové povinnosti; údaje uváděné v ohlášení upravuje zákon</w:t>
      </w:r>
      <w:r>
        <w:rPr>
          <w:rStyle w:val="Ukotvenpoznmkypodarou"/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shd w:fill="auto" w:val="clear"/>
          <w:vertAlign w:val="superscript"/>
        </w:rPr>
        <w:footnoteReference w:id="7"/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4"/>
        </w:numPr>
        <w:pBdr/>
        <w:shd w:val="clear" w:fill="auto"/>
        <w:tabs>
          <w:tab w:val="clear" w:pos="720"/>
          <w:tab w:val="left" w:pos="567" w:leader="none"/>
        </w:tabs>
        <w:spacing w:lineRule="auto" w:line="276" w:before="0" w:after="120"/>
        <w:ind w:left="567" w:right="0" w:hanging="567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Dojde-li ke změně údajů uvedených v ohlášení, je poplatník povinen tuto změnu oznámit do 15 dnů ode dne, kdy nastala</w:t>
      </w:r>
      <w:r>
        <w:rPr>
          <w:rStyle w:val="Ukotvenpoznmkypodarou"/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shd w:fill="auto" w:val="clear"/>
          <w:vertAlign w:val="superscript"/>
        </w:rPr>
        <w:footnoteReference w:id="8"/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.</w:t>
      </w:r>
    </w:p>
    <w:p>
      <w:pPr>
        <w:pStyle w:val="Nadpis2"/>
        <w:numPr>
          <w:ilvl w:val="1"/>
          <w:numId w:val="1"/>
        </w:numPr>
        <w:tabs>
          <w:tab w:val="clear" w:pos="720"/>
          <w:tab w:val="left" w:pos="0" w:leader="none"/>
        </w:tabs>
        <w:ind w:left="0" w:hanging="0"/>
        <w:rPr/>
      </w:pPr>
      <w:r>
        <w:rPr/>
        <w:t>Čl. 4</w:t>
        <w:br/>
        <w:t>Sazba poplatku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5"/>
        </w:numPr>
        <w:pBdr/>
        <w:shd w:val="clear" w:fill="auto"/>
        <w:tabs>
          <w:tab w:val="clear" w:pos="720"/>
          <w:tab w:val="left" w:pos="567" w:leader="none"/>
        </w:tabs>
        <w:spacing w:lineRule="auto" w:line="276" w:before="0" w:after="120"/>
        <w:ind w:left="567" w:right="0" w:hanging="567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Sazba poplatku za kalendářní rok činí </w:t>
      </w:r>
      <w:r>
        <w:rPr>
          <w:rFonts w:eastAsia="Arial" w:cs="Arial" w:ascii="Arial" w:hAnsi="Arial"/>
          <w:sz w:val="22"/>
          <w:szCs w:val="22"/>
        </w:rPr>
        <w:t>700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Kč.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tabs>
          <w:tab w:val="clear" w:pos="720"/>
          <w:tab w:val="left" w:pos="567" w:leader="none"/>
        </w:tabs>
        <w:spacing w:lineRule="auto" w:line="276" w:before="0" w:after="120"/>
        <w:ind w:left="567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U osob, které v příslušném kalendářním roce dovrší nejvýše 15 let věku a osob, které v příslušném kalendářním roce dovrší 75 a více let věku činí za kalendářní rok 3</w:t>
      </w:r>
      <w:r>
        <w:rPr>
          <w:rFonts w:eastAsia="Arial" w:cs="Arial" w:ascii="Arial" w:hAnsi="Arial"/>
          <w:sz w:val="22"/>
          <w:szCs w:val="22"/>
        </w:rPr>
        <w:t>50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,-.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5"/>
        </w:numPr>
        <w:pBdr/>
        <w:shd w:val="clear" w:fill="auto"/>
        <w:tabs>
          <w:tab w:val="clear" w:pos="720"/>
          <w:tab w:val="left" w:pos="567" w:leader="none"/>
        </w:tabs>
        <w:spacing w:lineRule="auto" w:line="276" w:before="0" w:after="120"/>
        <w:ind w:left="567" w:right="0" w:hanging="567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Poplatek se v případě, že poplatková povinnost vznikla z důvodu přihlášení fyzické osoby v obci, snižuje o jednu dvanáctinu za každý kalendářní měsíc, na jehož konci</w:t>
      </w:r>
    </w:p>
    <w:p>
      <w:pPr>
        <w:pStyle w:val="Normal1"/>
        <w:keepNext w:val="false"/>
        <w:keepLines w:val="false"/>
        <w:pageBreakBefore w:val="false"/>
        <w:widowControl/>
        <w:numPr>
          <w:ilvl w:val="1"/>
          <w:numId w:val="5"/>
        </w:numPr>
        <w:pBdr/>
        <w:shd w:val="clear" w:fill="auto"/>
        <w:tabs>
          <w:tab w:val="clear" w:pos="720"/>
          <w:tab w:val="left" w:pos="567" w:leader="none"/>
        </w:tabs>
        <w:spacing w:lineRule="auto" w:line="276" w:before="0" w:after="120"/>
        <w:ind w:left="964" w:right="0" w:hanging="397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není tato fyzická osoba přihlášena v obci,</w:t>
      </w:r>
    </w:p>
    <w:p>
      <w:pPr>
        <w:pStyle w:val="Normal1"/>
        <w:keepNext w:val="false"/>
        <w:keepLines w:val="false"/>
        <w:pageBreakBefore w:val="false"/>
        <w:widowControl/>
        <w:numPr>
          <w:ilvl w:val="1"/>
          <w:numId w:val="5"/>
        </w:numPr>
        <w:pBdr/>
        <w:shd w:val="clear" w:fill="auto"/>
        <w:tabs>
          <w:tab w:val="clear" w:pos="720"/>
          <w:tab w:val="left" w:pos="567" w:leader="none"/>
        </w:tabs>
        <w:spacing w:lineRule="auto" w:line="276" w:before="0" w:after="120"/>
        <w:ind w:left="964" w:right="0" w:hanging="397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nebo je tato fyzická osoba od poplatku osvobozena.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5"/>
        </w:numPr>
        <w:pBdr/>
        <w:shd w:val="clear" w:fill="auto"/>
        <w:tabs>
          <w:tab w:val="clear" w:pos="720"/>
          <w:tab w:val="left" w:pos="567" w:leader="none"/>
        </w:tabs>
        <w:spacing w:lineRule="auto" w:line="276" w:before="0" w:after="120"/>
        <w:ind w:left="567" w:right="0" w:hanging="567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</w:p>
    <w:p>
      <w:pPr>
        <w:pStyle w:val="Normal1"/>
        <w:keepNext w:val="false"/>
        <w:keepLines w:val="false"/>
        <w:pageBreakBefore w:val="false"/>
        <w:widowControl/>
        <w:numPr>
          <w:ilvl w:val="1"/>
          <w:numId w:val="5"/>
        </w:numPr>
        <w:pBdr/>
        <w:shd w:val="clear" w:fill="auto"/>
        <w:tabs>
          <w:tab w:val="clear" w:pos="720"/>
          <w:tab w:val="left" w:pos="567" w:leader="none"/>
        </w:tabs>
        <w:spacing w:lineRule="auto" w:line="276" w:before="0" w:after="120"/>
        <w:ind w:left="964" w:right="0" w:hanging="397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je v této nemovité věci přihlášena alespoň 1 fyzická osoba,</w:t>
      </w:r>
    </w:p>
    <w:p>
      <w:pPr>
        <w:pStyle w:val="Normal1"/>
        <w:keepNext w:val="false"/>
        <w:keepLines w:val="false"/>
        <w:pageBreakBefore w:val="false"/>
        <w:widowControl/>
        <w:numPr>
          <w:ilvl w:val="1"/>
          <w:numId w:val="5"/>
        </w:numPr>
        <w:pBdr/>
        <w:shd w:val="clear" w:fill="auto"/>
        <w:tabs>
          <w:tab w:val="clear" w:pos="720"/>
          <w:tab w:val="left" w:pos="567" w:leader="none"/>
        </w:tabs>
        <w:spacing w:lineRule="auto" w:line="276" w:before="0" w:after="120"/>
        <w:ind w:left="964" w:right="0" w:hanging="397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poplatník nevlastní tuto nemovitou věc,</w:t>
      </w:r>
    </w:p>
    <w:p>
      <w:pPr>
        <w:pStyle w:val="Normal1"/>
        <w:keepNext w:val="false"/>
        <w:keepLines w:val="false"/>
        <w:pageBreakBefore w:val="false"/>
        <w:widowControl/>
        <w:numPr>
          <w:ilvl w:val="1"/>
          <w:numId w:val="5"/>
        </w:numPr>
        <w:pBdr/>
        <w:shd w:val="clear" w:fill="auto"/>
        <w:tabs>
          <w:tab w:val="clear" w:pos="720"/>
          <w:tab w:val="left" w:pos="567" w:leader="none"/>
        </w:tabs>
        <w:spacing w:lineRule="auto" w:line="276" w:before="0" w:after="120"/>
        <w:ind w:left="964" w:right="0" w:hanging="397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nebo je poplatník od poplatku osvobozen.</w:t>
      </w:r>
    </w:p>
    <w:p>
      <w:pPr>
        <w:pStyle w:val="Nadpis2"/>
        <w:numPr>
          <w:ilvl w:val="1"/>
          <w:numId w:val="1"/>
        </w:numPr>
        <w:tabs>
          <w:tab w:val="clear" w:pos="720"/>
          <w:tab w:val="left" w:pos="0" w:leader="none"/>
        </w:tabs>
        <w:ind w:left="0" w:hanging="0"/>
        <w:rPr/>
      </w:pPr>
      <w:r>
        <w:rPr/>
        <w:t>Čl. 5</w:t>
        <w:br/>
        <w:t>Splatnost poplatku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6"/>
        </w:numPr>
        <w:pBdr/>
        <w:shd w:val="clear" w:fill="auto"/>
        <w:tabs>
          <w:tab w:val="clear" w:pos="720"/>
          <w:tab w:val="left" w:pos="567" w:leader="none"/>
        </w:tabs>
        <w:spacing w:lineRule="auto" w:line="276" w:before="0" w:after="120"/>
        <w:ind w:left="567" w:right="0" w:hanging="567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Poplatek je splatný nejpozději do 31. května příslušného kalendářního roku.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6"/>
        </w:numPr>
        <w:pBdr/>
        <w:shd w:val="clear" w:fill="auto"/>
        <w:tabs>
          <w:tab w:val="clear" w:pos="720"/>
          <w:tab w:val="left" w:pos="567" w:leader="none"/>
        </w:tabs>
        <w:spacing w:lineRule="auto" w:line="276" w:before="0" w:after="120"/>
        <w:ind w:left="567" w:right="0" w:hanging="567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Vznikne-li poplatková povinnost po datu splatnosti uvedeném v odstavci 1, je poplatek splatný nejpozději do patnáctého dne měsíce, který následuje po měsíci, ve kterém poplatková povinnost vznikla.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6"/>
        </w:numPr>
        <w:pBdr/>
        <w:shd w:val="clear" w:fill="auto"/>
        <w:tabs>
          <w:tab w:val="clear" w:pos="720"/>
          <w:tab w:val="left" w:pos="567" w:leader="none"/>
        </w:tabs>
        <w:spacing w:lineRule="auto" w:line="276" w:before="0" w:after="120"/>
        <w:ind w:left="567" w:right="0" w:hanging="567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Lhůta splatnosti neskončí poplatníkovi dříve než lhůta pro podání ohlášení podle čl. 3 odst. 1 této vyhlášky.</w:t>
      </w:r>
    </w:p>
    <w:p>
      <w:pPr>
        <w:pStyle w:val="Nadpis2"/>
        <w:numPr>
          <w:ilvl w:val="1"/>
          <w:numId w:val="1"/>
        </w:numPr>
        <w:tabs>
          <w:tab w:val="clear" w:pos="720"/>
          <w:tab w:val="left" w:pos="0" w:leader="none"/>
        </w:tabs>
        <w:ind w:left="0" w:hanging="0"/>
        <w:rPr/>
      </w:pPr>
      <w:r>
        <w:rPr/>
        <w:t>Čl. 6</w:t>
        <w:br/>
        <w:t xml:space="preserve"> Osvobození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7"/>
        </w:numPr>
        <w:pBdr/>
        <w:shd w:val="clear" w:fill="auto"/>
        <w:tabs>
          <w:tab w:val="clear" w:pos="720"/>
          <w:tab w:val="left" w:pos="567" w:leader="none"/>
        </w:tabs>
        <w:spacing w:lineRule="auto" w:line="276" w:before="0" w:after="120"/>
        <w:ind w:left="567" w:right="0" w:hanging="567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Od poplatku je osvobozena osoba, které poplatková povinnost vznikla z důvodu přihlášení v obci a která je</w:t>
      </w:r>
      <w:r>
        <w:rPr>
          <w:rStyle w:val="Ukotvenpoznmkypodarou"/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shd w:fill="auto" w:val="clear"/>
          <w:vertAlign w:val="superscript"/>
        </w:rPr>
        <w:footnoteReference w:id="9"/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:</w:t>
      </w:r>
    </w:p>
    <w:p>
      <w:pPr>
        <w:pStyle w:val="Normal1"/>
        <w:keepNext w:val="false"/>
        <w:keepLines w:val="false"/>
        <w:pageBreakBefore w:val="false"/>
        <w:widowControl/>
        <w:numPr>
          <w:ilvl w:val="1"/>
          <w:numId w:val="7"/>
        </w:numPr>
        <w:pBdr/>
        <w:shd w:val="clear" w:fill="auto"/>
        <w:tabs>
          <w:tab w:val="clear" w:pos="720"/>
          <w:tab w:val="left" w:pos="567" w:leader="none"/>
        </w:tabs>
        <w:spacing w:lineRule="auto" w:line="276" w:before="0" w:after="120"/>
        <w:ind w:left="964" w:right="0" w:hanging="397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poplatníkem poplatku za odkládání komunálního odpadu z nemovité věci v jiné obci a má v této jiné obci bydliště,</w:t>
      </w:r>
    </w:p>
    <w:p>
      <w:pPr>
        <w:pStyle w:val="Normal1"/>
        <w:keepNext w:val="false"/>
        <w:keepLines w:val="false"/>
        <w:pageBreakBefore w:val="false"/>
        <w:widowControl/>
        <w:numPr>
          <w:ilvl w:val="1"/>
          <w:numId w:val="7"/>
        </w:numPr>
        <w:pBdr/>
        <w:shd w:val="clear" w:fill="auto"/>
        <w:tabs>
          <w:tab w:val="clear" w:pos="720"/>
          <w:tab w:val="left" w:pos="567" w:leader="none"/>
        </w:tabs>
        <w:spacing w:lineRule="auto" w:line="276" w:before="0" w:after="120"/>
        <w:ind w:left="964" w:right="0" w:hanging="397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>
      <w:pPr>
        <w:pStyle w:val="Normal1"/>
        <w:keepNext w:val="false"/>
        <w:keepLines w:val="false"/>
        <w:pageBreakBefore w:val="false"/>
        <w:widowControl/>
        <w:numPr>
          <w:ilvl w:val="1"/>
          <w:numId w:val="7"/>
        </w:numPr>
        <w:pBdr/>
        <w:shd w:val="clear" w:fill="auto"/>
        <w:tabs>
          <w:tab w:val="clear" w:pos="720"/>
          <w:tab w:val="left" w:pos="567" w:leader="none"/>
        </w:tabs>
        <w:spacing w:lineRule="auto" w:line="276" w:before="0" w:after="120"/>
        <w:ind w:left="964" w:right="0" w:hanging="397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>
      <w:pPr>
        <w:pStyle w:val="Normal1"/>
        <w:keepNext w:val="false"/>
        <w:keepLines w:val="false"/>
        <w:pageBreakBefore w:val="false"/>
        <w:widowControl/>
        <w:numPr>
          <w:ilvl w:val="1"/>
          <w:numId w:val="7"/>
        </w:numPr>
        <w:pBdr/>
        <w:shd w:val="clear" w:fill="auto"/>
        <w:tabs>
          <w:tab w:val="clear" w:pos="720"/>
          <w:tab w:val="left" w:pos="567" w:leader="none"/>
        </w:tabs>
        <w:spacing w:lineRule="auto" w:line="276" w:before="0" w:after="120"/>
        <w:ind w:left="964" w:right="0" w:hanging="397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umístěna v domově pro osoby se zdravotním postižením, domově pro seniory, domově se zvláštním režimem nebo v chráněném bydlení,</w:t>
      </w:r>
    </w:p>
    <w:p>
      <w:pPr>
        <w:pStyle w:val="Normal1"/>
        <w:keepNext w:val="false"/>
        <w:keepLines w:val="false"/>
        <w:pageBreakBefore w:val="false"/>
        <w:widowControl/>
        <w:numPr>
          <w:ilvl w:val="1"/>
          <w:numId w:val="7"/>
        </w:numPr>
        <w:pBdr/>
        <w:shd w:val="clear" w:fill="auto"/>
        <w:tabs>
          <w:tab w:val="clear" w:pos="720"/>
          <w:tab w:val="left" w:pos="567" w:leader="none"/>
        </w:tabs>
        <w:spacing w:lineRule="auto" w:line="276" w:before="0" w:after="120"/>
        <w:ind w:left="964" w:right="0" w:hanging="397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nebo na základě zákona omezena na osobní svobodě s výjimkou osoby vykonávající trest domácího vězení.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7"/>
        </w:numPr>
        <w:pBdr/>
        <w:shd w:val="clear" w:fill="auto"/>
        <w:tabs>
          <w:tab w:val="clear" w:pos="720"/>
          <w:tab w:val="left" w:pos="567" w:leader="none"/>
        </w:tabs>
        <w:spacing w:lineRule="auto" w:line="276" w:before="0" w:after="120"/>
        <w:ind w:left="567" w:right="0" w:hanging="567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Od poplatku se osvobozuje osoba, které poplatková povinnost vznikla z důvodu přihlášení v obci a která:</w:t>
      </w:r>
    </w:p>
    <w:p>
      <w:pPr>
        <w:pStyle w:val="Normal1"/>
        <w:keepNext w:val="false"/>
        <w:keepLines w:val="false"/>
        <w:pageBreakBefore w:val="false"/>
        <w:widowControl/>
        <w:numPr>
          <w:ilvl w:val="1"/>
          <w:numId w:val="7"/>
        </w:numPr>
        <w:pBdr/>
        <w:shd w:val="clear" w:fill="auto"/>
        <w:tabs>
          <w:tab w:val="clear" w:pos="720"/>
          <w:tab w:val="left" w:pos="567" w:leader="none"/>
        </w:tabs>
        <w:spacing w:lineRule="auto" w:line="276" w:before="0" w:after="120"/>
        <w:ind w:left="964" w:right="0" w:hanging="397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je přihlášená v sídle ohlašovny, pokud se celoročně zdržuje mimo území obce,</w:t>
      </w:r>
    </w:p>
    <w:p>
      <w:pPr>
        <w:pStyle w:val="Normal1"/>
        <w:keepNext w:val="false"/>
        <w:keepLines w:val="false"/>
        <w:pageBreakBefore w:val="false"/>
        <w:widowControl/>
        <w:numPr>
          <w:ilvl w:val="1"/>
          <w:numId w:val="7"/>
        </w:numPr>
        <w:pBdr/>
        <w:shd w:val="clear" w:fill="auto"/>
        <w:tabs>
          <w:tab w:val="clear" w:pos="720"/>
          <w:tab w:val="left" w:pos="567" w:leader="none"/>
        </w:tabs>
        <w:spacing w:lineRule="auto" w:line="276" w:before="0" w:after="120"/>
        <w:ind w:left="964" w:right="0" w:hanging="397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je držitelem průkazu ZTP nebo ZTP/P.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7"/>
        </w:numPr>
        <w:pBdr/>
        <w:shd w:val="clear" w:fill="auto"/>
        <w:tabs>
          <w:tab w:val="clear" w:pos="720"/>
          <w:tab w:val="left" w:pos="567" w:leader="none"/>
        </w:tabs>
        <w:spacing w:lineRule="auto" w:line="276" w:before="0" w:after="120"/>
        <w:ind w:left="567" w:right="0" w:hanging="567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V případě, že poplatník nesplní povinnost ohlásit údaj rozhodný pro osvobození ve lhůtách stanovených touto vyhláškou nebo zákonem, nárok na osvobození zaniká</w:t>
      </w:r>
      <w:r>
        <w:rPr>
          <w:rStyle w:val="Ukotvenpoznmkypodarou"/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shd w:fill="auto" w:val="clear"/>
          <w:vertAlign w:val="superscript"/>
        </w:rPr>
        <w:footnoteReference w:id="10"/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.</w:t>
      </w:r>
    </w:p>
    <w:p>
      <w:pPr>
        <w:pStyle w:val="Nadpis2"/>
        <w:numPr>
          <w:ilvl w:val="1"/>
          <w:numId w:val="1"/>
        </w:numPr>
        <w:tabs>
          <w:tab w:val="clear" w:pos="720"/>
          <w:tab w:val="left" w:pos="0" w:leader="none"/>
        </w:tabs>
        <w:ind w:left="0" w:hanging="0"/>
        <w:rPr/>
      </w:pPr>
      <w:r>
        <w:rPr/>
        <w:t>Čl. 7</w:t>
        <w:br/>
        <w:t>Přechodné a zrušovací ustanovení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8"/>
        </w:numPr>
        <w:pBdr/>
        <w:shd w:val="clear" w:fill="auto"/>
        <w:tabs>
          <w:tab w:val="clear" w:pos="720"/>
          <w:tab w:val="left" w:pos="567" w:leader="none"/>
        </w:tabs>
        <w:spacing w:lineRule="auto" w:line="276" w:before="0" w:after="120"/>
        <w:ind w:left="567" w:right="0" w:hanging="567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Poplatkové povinnosti vzniklé před nabytím účinnosti této vyhlášky se posuzují podle dosavadních právních předpisů.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8"/>
        </w:numPr>
        <w:pBdr/>
        <w:shd w:val="clear" w:fill="auto"/>
        <w:tabs>
          <w:tab w:val="clear" w:pos="720"/>
          <w:tab w:val="left" w:pos="567" w:leader="none"/>
        </w:tabs>
        <w:spacing w:lineRule="auto" w:line="276" w:before="0" w:after="120"/>
        <w:ind w:left="567" w:right="0" w:hanging="567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Zrušuje se obecně závazná vyhláška č. 2/2021, o místním poplatku za obecní systém odpadového hospodářství, ze dne 13. prosince 2021.</w:t>
      </w:r>
    </w:p>
    <w:p>
      <w:pPr>
        <w:pStyle w:val="Nadpis2"/>
        <w:numPr>
          <w:ilvl w:val="1"/>
          <w:numId w:val="1"/>
        </w:numPr>
        <w:tabs>
          <w:tab w:val="clear" w:pos="720"/>
          <w:tab w:val="left" w:pos="0" w:leader="none"/>
        </w:tabs>
        <w:ind w:left="0" w:hanging="0"/>
        <w:rPr/>
      </w:pPr>
      <w:r>
        <w:rPr/>
        <w:t>Čl. 8</w:t>
        <w:br/>
        <w:t>Účinnost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tabs>
          <w:tab w:val="clear" w:pos="720"/>
          <w:tab w:val="left" w:pos="567" w:leader="none"/>
        </w:tabs>
        <w:spacing w:lineRule="auto" w:line="276" w:before="0" w:after="12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Tato vyhláška nabývá účinnosti dnem 1. ledna 202</w:t>
      </w:r>
      <w:r>
        <w:rPr>
          <w:rFonts w:eastAsia="Arial" w:cs="Arial" w:ascii="Arial" w:hAnsi="Arial"/>
          <w:sz w:val="22"/>
          <w:szCs w:val="22"/>
        </w:rPr>
        <w:t>5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.</w:t>
      </w:r>
    </w:p>
    <w:tbl>
      <w:tblPr>
        <w:tblStyle w:val="Table1"/>
        <w:tblW w:w="9641" w:type="dxa"/>
        <w:jc w:val="left"/>
        <w:tblInd w:w="-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820"/>
        <w:gridCol w:w="4820"/>
      </w:tblGrid>
      <w:tr>
        <w:trPr>
          <w:trHeight w:val="1134" w:hRule="atLeast"/>
        </w:trPr>
        <w:tc>
          <w:tcPr>
            <w:tcW w:w="4820" w:type="dxa"/>
            <w:tcBorders/>
            <w:shd w:fill="auto" w:val="clear"/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Jiří Jelínek v.r.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místostarosta</w:t>
            </w:r>
          </w:p>
        </w:tc>
        <w:tc>
          <w:tcPr>
            <w:tcW w:w="4820" w:type="dxa"/>
            <w:tcBorders/>
            <w:shd w:fill="auto" w:val="clear"/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1134" w:hRule="atLeast"/>
        </w:trPr>
        <w:tc>
          <w:tcPr>
            <w:tcW w:w="4820" w:type="dxa"/>
            <w:tcBorders/>
            <w:shd w:fill="auto" w:val="clear"/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820" w:type="dxa"/>
            <w:tcBorders/>
            <w:shd w:fill="auto" w:val="clear"/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/>
      </w:r>
    </w:p>
    <w:sectPr>
      <w:footnotePr>
        <w:numFmt w:val="decimal"/>
      </w:footnotePr>
      <w:type w:val="nextPage"/>
      <w:pgSz w:w="11906" w:h="16838"/>
      <w:pgMar w:left="1134" w:right="1134" w:gutter="0" w:header="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Georgia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/>
    </w:p>
  </w:footnote>
  <w:footnote w:id="1" w:type="continuationSeparator">
    <w:p>
      <w:pPr>
        <w:rPr>
          <w:sz w:val="12"/>
        </w:rPr>
      </w:pPr>
      <w:r/>
    </w:p>
  </w:footnote>
  <w:footnote w:id="2"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170" w:right="0" w:hanging="17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Style w:val="Znakypropoznmkupodarou"/>
        </w:rPr>
        <w:footnoteRef/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ab/>
        <w:t>§ 10o odst. 1 zákona o místních poplatcích</w:t>
      </w:r>
    </w:p>
  </w:footnote>
  <w:footnote w:id="3"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170" w:right="0" w:hanging="17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Style w:val="Znakypropoznmkupodarou"/>
        </w:rPr>
        <w:footnoteRef/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ab/>
        <w:t>§ 15 odst. 1 zákona o místních poplatcích</w:t>
      </w:r>
    </w:p>
  </w:footnote>
  <w:footnote w:id="4"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170" w:right="0" w:hanging="17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Style w:val="Znakypropoznmkupodarou"/>
        </w:rPr>
        <w:footnoteRef/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ab/>
        <w:t>§ 10e zákona o místních poplatcích</w:t>
      </w:r>
    </w:p>
  </w:footnote>
  <w:footnote w:id="5"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170" w:right="0" w:hanging="17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Style w:val="Znakypropoznmkupodarou"/>
        </w:rPr>
        <w:footnoteRef/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6"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170" w:right="0" w:hanging="17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Style w:val="Znakypropoznmkupodarou"/>
        </w:rPr>
        <w:footnoteRef/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ab/>
        <w:t>§ 10p zákona o místních poplatcích</w:t>
      </w:r>
    </w:p>
  </w:footnote>
  <w:footnote w:id="7"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170" w:right="0" w:hanging="17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Style w:val="Znakypropoznmkupodarou"/>
        </w:rPr>
        <w:footnoteRef/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ab/>
        <w:t>§ 14a odst. 1 a 2 zákona o místních poplatcích; v ohlášení poplatník uvede zejména své identifikační údaje a skutečnosti rozhodné pro stanovení poplatku</w:t>
      </w:r>
    </w:p>
  </w:footnote>
  <w:footnote w:id="8"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170" w:right="0" w:hanging="17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Style w:val="Znakypropoznmkupodarou"/>
        </w:rPr>
        <w:footnoteRef/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ab/>
        <w:t>§ 14a odst. 4 zákona o místních poplatcích</w:t>
      </w:r>
    </w:p>
  </w:footnote>
  <w:footnote w:id="9"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170" w:right="0" w:hanging="17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Style w:val="Znakypropoznmkupodarou"/>
        </w:rPr>
        <w:footnoteRef/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ab/>
        <w:t>§ 10g zákona o místních poplatcích</w:t>
      </w:r>
    </w:p>
  </w:footnote>
  <w:footnote w:id="10"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170" w:right="0" w:hanging="17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Style w:val="Znakypropoznmkupodarou"/>
        </w:rPr>
        <w:footnoteRef/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ab/>
        <w:t>§ 14a odst. 6 zákona o 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8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cs-CZ" w:eastAsia="zh-CN" w:bidi="hi-IN"/>
    </w:rPr>
  </w:style>
  <w:style w:type="paragraph" w:styleId="Nadpis1">
    <w:name w:val="Heading 1"/>
    <w:basedOn w:val="Normal1"/>
    <w:next w:val="Normal1"/>
    <w:qFormat/>
    <w:pPr>
      <w:keepNext w:val="true"/>
      <w:spacing w:lineRule="auto" w:line="240" w:before="238" w:after="238"/>
      <w:ind w:left="0" w:hanging="0"/>
      <w:jc w:val="center"/>
    </w:pPr>
    <w:rPr>
      <w:rFonts w:ascii="Arial" w:hAnsi="Arial" w:eastAsia="Arial" w:cs="Arial"/>
      <w:b/>
      <w:sz w:val="24"/>
      <w:szCs w:val="24"/>
    </w:rPr>
  </w:style>
  <w:style w:type="paragraph" w:styleId="Nadpis2">
    <w:name w:val="Heading 2"/>
    <w:basedOn w:val="Normal1"/>
    <w:next w:val="Normal1"/>
    <w:qFormat/>
    <w:pPr>
      <w:keepNext w:val="true"/>
      <w:spacing w:lineRule="auto" w:line="276" w:before="360" w:after="0"/>
      <w:ind w:left="0" w:hanging="0"/>
      <w:jc w:val="center"/>
    </w:pPr>
    <w:rPr>
      <w:rFonts w:ascii="Arial" w:hAnsi="Arial" w:eastAsia="Arial" w:cs="Arial"/>
      <w:b/>
      <w:sz w:val="24"/>
      <w:szCs w:val="24"/>
    </w:rPr>
  </w:style>
  <w:style w:type="paragraph" w:styleId="Nadpis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Nadpis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Nadpis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Nadpis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Ukotvenpoznmkypodarou">
    <w:name w:val="Ukotvení poznámky pod čarou"/>
    <w:rPr>
      <w:vertAlign w:val="superscript"/>
    </w:rPr>
  </w:style>
  <w:style w:type="character" w:styleId="Znakypropoznmkupodarou">
    <w:name w:val="Znaky pro poznámku pod čarou"/>
    <w:qFormat/>
    <w:rPr/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cs-CZ" w:eastAsia="zh-CN" w:bidi="hi-IN"/>
    </w:rPr>
  </w:style>
  <w:style w:type="paragraph" w:styleId="Nzev">
    <w:name w:val="Title"/>
    <w:basedOn w:val="Normal1"/>
    <w:next w:val="Normal1"/>
    <w:qFormat/>
    <w:pPr>
      <w:keepNext w:val="true"/>
      <w:spacing w:lineRule="auto" w:line="240" w:before="240" w:after="120"/>
      <w:jc w:val="center"/>
    </w:pPr>
    <w:rPr>
      <w:rFonts w:ascii="Arial" w:hAnsi="Arial" w:eastAsia="Arial" w:cs="Arial"/>
      <w:b/>
      <w:sz w:val="24"/>
      <w:szCs w:val="24"/>
    </w:rPr>
  </w:style>
  <w:style w:type="paragraph" w:styleId="Podtitul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oznmkapodarou">
    <w:name w:val="Footnote Text"/>
    <w:basedOn w:val="Normal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LibreOffice/7.2.5.2$Windows_X86_64 LibreOffice_project/499f9727c189e6ef3471021d6132d4c694f357e5</Application>
  <AppVersion>15.0000</AppVersion>
  <Pages>2</Pages>
  <Words>880</Words>
  <Characters>4818</Characters>
  <CharactersWithSpaces>5613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cp:revision>0</cp:revision>
  <dc:subject/>
  <dc:title/>
</cp:coreProperties>
</file>