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0BE653" w14:textId="77777777" w:rsidR="008F4521" w:rsidRDefault="008F4521">
      <w:pPr>
        <w:pStyle w:val="Pa35"/>
        <w:tabs>
          <w:tab w:val="right" w:leader="dot" w:pos="1980"/>
          <w:tab w:val="right" w:leader="dot" w:pos="3060"/>
        </w:tabs>
      </w:pPr>
    </w:p>
    <w:p w14:paraId="4D8FE421" w14:textId="77777777" w:rsidR="008F4521" w:rsidRDefault="008F4521">
      <w:pPr>
        <w:pStyle w:val="Pa31"/>
        <w:spacing w:after="60" w:line="221" w:lineRule="atLeast"/>
        <w:jc w:val="center"/>
      </w:pPr>
      <w:r>
        <w:rPr>
          <w:rStyle w:val="A13"/>
          <w:sz w:val="26"/>
          <w:szCs w:val="26"/>
        </w:rPr>
        <w:t xml:space="preserve">Obecně závazná vyhláška obce Vysoký Újezd č. </w:t>
      </w:r>
      <w:r w:rsidR="00E85C93">
        <w:rPr>
          <w:rStyle w:val="A13"/>
          <w:sz w:val="26"/>
          <w:szCs w:val="26"/>
        </w:rPr>
        <w:t>1</w:t>
      </w:r>
      <w:r>
        <w:rPr>
          <w:rStyle w:val="A13"/>
          <w:sz w:val="26"/>
          <w:szCs w:val="26"/>
        </w:rPr>
        <w:t>/</w:t>
      </w:r>
      <w:r w:rsidR="00E85C93">
        <w:rPr>
          <w:rStyle w:val="A13"/>
          <w:sz w:val="26"/>
          <w:szCs w:val="26"/>
        </w:rPr>
        <w:t>2020</w:t>
      </w:r>
      <w:r w:rsidR="00797B14">
        <w:rPr>
          <w:rStyle w:val="A13"/>
          <w:sz w:val="26"/>
          <w:szCs w:val="26"/>
        </w:rPr>
        <w:t>,</w:t>
      </w:r>
    </w:p>
    <w:p w14:paraId="242FA812" w14:textId="77777777" w:rsidR="008F4521" w:rsidRDefault="00E85C93" w:rsidP="003844F0">
      <w:pPr>
        <w:jc w:val="center"/>
        <w:rPr>
          <w:rFonts w:ascii="Myriad Pro" w:hAnsi="Myriad Pro" w:cs="Myriad Pro"/>
          <w:b/>
          <w:sz w:val="22"/>
        </w:rPr>
      </w:pPr>
      <w:r w:rsidRPr="00E85C93">
        <w:rPr>
          <w:rFonts w:ascii="Myriad Pro" w:hAnsi="Myriad Pro" w:cs="Myriad Pro"/>
          <w:b/>
          <w:sz w:val="22"/>
        </w:rPr>
        <w:t>o úhradě vodného a stočného ve dvousložkové formě</w:t>
      </w:r>
      <w:r w:rsidR="00797B14" w:rsidRPr="00797B14">
        <w:rPr>
          <w:rFonts w:ascii="Myriad Pro" w:hAnsi="Myriad Pro" w:cs="Myriad Pro"/>
          <w:b/>
          <w:sz w:val="22"/>
        </w:rPr>
        <w:t xml:space="preserve"> </w:t>
      </w:r>
      <w:r w:rsidR="00B369B2">
        <w:rPr>
          <w:rFonts w:ascii="Myriad Pro" w:hAnsi="Myriad Pro" w:cs="Myriad Pro"/>
          <w:b/>
          <w:sz w:val="22"/>
        </w:rPr>
        <w:br/>
      </w:r>
    </w:p>
    <w:p w14:paraId="534F8B76" w14:textId="77777777" w:rsidR="00B369B2" w:rsidRPr="00797B14" w:rsidRDefault="00B369B2" w:rsidP="003844F0">
      <w:pPr>
        <w:jc w:val="center"/>
        <w:rPr>
          <w:rFonts w:ascii="Myriad Pro" w:hAnsi="Myriad Pro" w:cs="Myriad Pro"/>
          <w:b/>
          <w:sz w:val="22"/>
        </w:rPr>
      </w:pPr>
    </w:p>
    <w:p w14:paraId="2DA60E4D" w14:textId="77777777" w:rsidR="008F4521" w:rsidRDefault="008F4521" w:rsidP="007E5FFA">
      <w:pPr>
        <w:pStyle w:val="Pa4"/>
        <w:spacing w:before="40" w:after="40" w:line="360" w:lineRule="auto"/>
        <w:ind w:left="397"/>
        <w:jc w:val="both"/>
      </w:pPr>
      <w:r>
        <w:rPr>
          <w:sz w:val="20"/>
        </w:rPr>
        <w:t xml:space="preserve">Zastupitelstvo obce Vysoký Újezd se na svém zasedání dne </w:t>
      </w:r>
      <w:r w:rsidR="00470CC2">
        <w:rPr>
          <w:sz w:val="20"/>
        </w:rPr>
        <w:t>13. 10.</w:t>
      </w:r>
      <w:r>
        <w:rPr>
          <w:sz w:val="20"/>
        </w:rPr>
        <w:t xml:space="preserve"> 20</w:t>
      </w:r>
      <w:r w:rsidR="00E85C93">
        <w:rPr>
          <w:sz w:val="20"/>
        </w:rPr>
        <w:t>20</w:t>
      </w:r>
      <w:r>
        <w:rPr>
          <w:sz w:val="20"/>
        </w:rPr>
        <w:t xml:space="preserve"> usnesením č. </w:t>
      </w:r>
      <w:r w:rsidR="00E8329F">
        <w:rPr>
          <w:sz w:val="20"/>
        </w:rPr>
        <w:t>3</w:t>
      </w:r>
      <w:r w:rsidR="009174C3">
        <w:rPr>
          <w:sz w:val="20"/>
        </w:rPr>
        <w:t xml:space="preserve"> </w:t>
      </w:r>
      <w:r>
        <w:rPr>
          <w:sz w:val="20"/>
        </w:rPr>
        <w:t xml:space="preserve">usneslo vydat </w:t>
      </w:r>
      <w:r w:rsidR="00E85C93" w:rsidRPr="00E85C93">
        <w:rPr>
          <w:sz w:val="20"/>
        </w:rPr>
        <w:t>podle ustanovení § 20 odst. 4 a § 26 odst. 1, písm. b</w:t>
      </w:r>
      <w:r w:rsidR="00E85C93">
        <w:rPr>
          <w:sz w:val="20"/>
        </w:rPr>
        <w:t>)</w:t>
      </w:r>
      <w:r w:rsidR="00E85C93" w:rsidRPr="00E85C93">
        <w:rPr>
          <w:sz w:val="20"/>
        </w:rPr>
        <w:t xml:space="preserve"> zákona číslo 274/2001 Sb., o vodovodech a kanalizacích pro veřejnou potřebu, v platném znění</w:t>
      </w:r>
      <w:r w:rsidR="00EC7927" w:rsidRPr="00EC7927">
        <w:rPr>
          <w:sz w:val="20"/>
        </w:rPr>
        <w:t>, a v souladu s § 10 písm. d) a § 84 odst. 2 písm. h) zákona č. 128/2000 Sb., o obcích (obecní zřízení), ve znění pozdějších předpisů, tuto obecně závaznou vyhlášku (dále jen „tato vyhláška“):</w:t>
      </w:r>
      <w:r>
        <w:rPr>
          <w:sz w:val="20"/>
        </w:rPr>
        <w:t xml:space="preserve"> </w:t>
      </w:r>
    </w:p>
    <w:p w14:paraId="567F710B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1</w:t>
      </w:r>
    </w:p>
    <w:p w14:paraId="7220A15D" w14:textId="77777777" w:rsidR="00467198" w:rsidRPr="00467198" w:rsidRDefault="00E85C93" w:rsidP="00467198">
      <w:pPr>
        <w:pStyle w:val="Nzvylnk"/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</w:pPr>
      <w:r w:rsidRPr="00E85C93"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Předmět a působnost vyhlášky</w:t>
      </w:r>
    </w:p>
    <w:p w14:paraId="68DB5BFA" w14:textId="77777777" w:rsidR="007615FE" w:rsidRDefault="00E85C93" w:rsidP="00F377A5">
      <w:pPr>
        <w:numPr>
          <w:ilvl w:val="0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Vyhláška stanoví </w:t>
      </w:r>
      <w:r w:rsidR="007615FE"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úhradu vodného a stočného ve dvousložkové formě </w:t>
      </w: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u všech nemovitostí připojených na vodovod a kanalizaci pro veřejnou potřebu na území obce, připojených na vodovodní řady a kanalizační stoky</w:t>
      </w:r>
      <w:r w:rsidR="007615F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:</w:t>
      </w:r>
    </w:p>
    <w:p w14:paraId="426474F0" w14:textId="77777777" w:rsidR="007615FE" w:rsidRDefault="00E85C93" w:rsidP="007615FE">
      <w:pPr>
        <w:numPr>
          <w:ilvl w:val="1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v majetku nebo provozované společností Vodovody a kanalizace Beroun, a.s.,</w:t>
      </w:r>
    </w:p>
    <w:p w14:paraId="22E70357" w14:textId="77777777" w:rsidR="00467198" w:rsidRDefault="007615FE" w:rsidP="007615FE">
      <w:pPr>
        <w:numPr>
          <w:ilvl w:val="1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>
        <w:rPr>
          <w:rFonts w:ascii="Myriad Pro" w:eastAsia="Arial Unicode MS" w:hAnsi="Myriad Pro" w:cs="Myriad Pro"/>
          <w:color w:val="000000"/>
          <w:sz w:val="20"/>
          <w:lang w:eastAsia="zh-CN" w:bidi="hi-IN"/>
        </w:rPr>
        <w:t>v majetku a pod správou obce</w:t>
      </w:r>
      <w:r w:rsidR="00E85C93"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.</w:t>
      </w:r>
    </w:p>
    <w:p w14:paraId="1377E684" w14:textId="77777777" w:rsidR="00E85C93" w:rsidRPr="00467198" w:rsidRDefault="00E85C93" w:rsidP="00F377A5">
      <w:pPr>
        <w:numPr>
          <w:ilvl w:val="0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Vyhláška dále stanoví způsob určení pevné složky dvousložkové formy úhrady vodného a stočného.</w:t>
      </w:r>
    </w:p>
    <w:p w14:paraId="79D31B7C" w14:textId="77777777" w:rsidR="00467198" w:rsidRPr="00467198" w:rsidRDefault="00467198" w:rsidP="00F377A5">
      <w:pPr>
        <w:pStyle w:val="Pa37"/>
        <w:spacing w:before="160"/>
        <w:jc w:val="center"/>
        <w:rPr>
          <w:b/>
          <w:sz w:val="20"/>
        </w:rPr>
      </w:pPr>
      <w:r w:rsidRPr="00467198">
        <w:rPr>
          <w:b/>
          <w:sz w:val="20"/>
        </w:rPr>
        <w:t>Čl. 2</w:t>
      </w:r>
    </w:p>
    <w:p w14:paraId="32D25377" w14:textId="77777777" w:rsidR="00467198" w:rsidRDefault="00E85C93" w:rsidP="00F377A5">
      <w:pPr>
        <w:pStyle w:val="Pa37"/>
        <w:spacing w:before="20" w:after="40"/>
        <w:jc w:val="center"/>
        <w:rPr>
          <w:b/>
          <w:sz w:val="20"/>
        </w:rPr>
      </w:pPr>
      <w:r w:rsidRPr="00E85C93">
        <w:rPr>
          <w:b/>
          <w:sz w:val="20"/>
        </w:rPr>
        <w:t>Vymezení pojmů</w:t>
      </w:r>
    </w:p>
    <w:p w14:paraId="49D8D9F7" w14:textId="77777777" w:rsidR="00E85C93" w:rsidRPr="00E85C93" w:rsidRDefault="00E85C93" w:rsidP="00E85C93">
      <w:pPr>
        <w:pStyle w:val="Pa37"/>
        <w:spacing w:before="20" w:after="40"/>
        <w:rPr>
          <w:bCs/>
          <w:sz w:val="20"/>
        </w:rPr>
      </w:pPr>
      <w:r w:rsidRPr="00E85C93">
        <w:rPr>
          <w:bCs/>
          <w:sz w:val="20"/>
        </w:rPr>
        <w:t>Pro účely této vyhlášky se rozumí:</w:t>
      </w:r>
    </w:p>
    <w:p w14:paraId="1F2EBB7D" w14:textId="77777777" w:rsidR="00E85C93" w:rsidRDefault="00E85C93" w:rsidP="00E85C93">
      <w:pPr>
        <w:numPr>
          <w:ilvl w:val="0"/>
          <w:numId w:val="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Nemovitostí připojenou na vodovod a kanalizaci pro veřejnou potřebu – pozemek nebo stavba, které jsou vodovodní či kanalizační přípojkou napojeny na vodovod či kanalizaci.</w:t>
      </w:r>
    </w:p>
    <w:p w14:paraId="5EDB6D52" w14:textId="77777777" w:rsidR="00E85C93" w:rsidRPr="00E85C93" w:rsidRDefault="00E85C93" w:rsidP="00E85C93">
      <w:pPr>
        <w:numPr>
          <w:ilvl w:val="0"/>
          <w:numId w:val="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Dvousložkovou formou úhrady vodného a stočného – úhrada pevné složky a složky tvořené součinem množství a ceny vody dodané vodovodem a odvedené kanalizací.</w:t>
      </w:r>
    </w:p>
    <w:p w14:paraId="22FDC47F" w14:textId="77777777" w:rsidR="00E85C93" w:rsidRDefault="00E85C93" w:rsidP="00E85C93">
      <w:pPr>
        <w:numPr>
          <w:ilvl w:val="0"/>
          <w:numId w:val="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Množství vody dodané vodovodem – počet m</w:t>
      </w:r>
      <w:r w:rsidRPr="00E85C93">
        <w:rPr>
          <w:rFonts w:ascii="Myriad Pro" w:eastAsia="Arial Unicode MS" w:hAnsi="Myriad Pro" w:cs="Myriad Pro"/>
          <w:color w:val="000000"/>
          <w:sz w:val="20"/>
          <w:vertAlign w:val="superscript"/>
          <w:lang w:eastAsia="zh-CN" w:bidi="hi-IN"/>
        </w:rPr>
        <w:t xml:space="preserve">3 </w:t>
      </w: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dodané vody, naměřených vodoměrem, popřípadě určených v souladu se smlouvou o dodávce vody a odvádění odpadních vod</w:t>
      </w:r>
      <w:r>
        <w:rPr>
          <w:rFonts w:ascii="Myriad Pro" w:eastAsia="Arial Unicode MS" w:hAnsi="Myriad Pro" w:cs="Myriad Pro"/>
          <w:color w:val="000000"/>
          <w:sz w:val="20"/>
          <w:lang w:eastAsia="zh-CN" w:bidi="hi-IN"/>
        </w:rPr>
        <w:t>.</w:t>
      </w:r>
    </w:p>
    <w:p w14:paraId="7C681094" w14:textId="77777777" w:rsidR="00E85C93" w:rsidRPr="00E85C93" w:rsidRDefault="00E85C93" w:rsidP="00E85C93">
      <w:pPr>
        <w:numPr>
          <w:ilvl w:val="0"/>
          <w:numId w:val="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Množství odpadních a srážkových vod odvedených kanalizací – počet m</w:t>
      </w:r>
      <w:r w:rsidRPr="00E85C93">
        <w:rPr>
          <w:rFonts w:ascii="Myriad Pro" w:eastAsia="Arial Unicode MS" w:hAnsi="Myriad Pro" w:cs="Myriad Pro"/>
          <w:color w:val="000000"/>
          <w:sz w:val="20"/>
          <w:vertAlign w:val="superscript"/>
          <w:lang w:eastAsia="zh-CN" w:bidi="hi-IN"/>
        </w:rPr>
        <w:t xml:space="preserve">3 </w:t>
      </w:r>
      <w:r w:rsidRPr="00E85C93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odpadních a srážkových vod, určených v souladu se smlouvou o dodávce vody a odvádění odpadních vod.</w:t>
      </w:r>
    </w:p>
    <w:p w14:paraId="3F50F2CE" w14:textId="77777777" w:rsidR="00467198" w:rsidRPr="00467198" w:rsidRDefault="00467198" w:rsidP="00F377A5">
      <w:pPr>
        <w:pStyle w:val="Pa37"/>
        <w:spacing w:before="160"/>
        <w:jc w:val="center"/>
        <w:rPr>
          <w:b/>
          <w:sz w:val="20"/>
        </w:rPr>
      </w:pPr>
      <w:r w:rsidRPr="00467198">
        <w:rPr>
          <w:b/>
          <w:sz w:val="20"/>
        </w:rPr>
        <w:t>Čl. 3</w:t>
      </w:r>
    </w:p>
    <w:p w14:paraId="1F7F9830" w14:textId="77777777" w:rsidR="00467198" w:rsidRPr="00F20DDA" w:rsidRDefault="00F20DDA" w:rsidP="00F20DDA">
      <w:pPr>
        <w:pStyle w:val="Pa37"/>
        <w:tabs>
          <w:tab w:val="left" w:pos="3386"/>
          <w:tab w:val="center" w:pos="4819"/>
        </w:tabs>
        <w:spacing w:before="20" w:after="40"/>
        <w:jc w:val="center"/>
        <w:rPr>
          <w:b/>
          <w:iCs/>
          <w:sz w:val="20"/>
        </w:rPr>
      </w:pPr>
      <w:r w:rsidRPr="00F20DDA">
        <w:rPr>
          <w:b/>
          <w:iCs/>
          <w:sz w:val="20"/>
        </w:rPr>
        <w:t>Stanovení druhu pevné složky</w:t>
      </w:r>
    </w:p>
    <w:p w14:paraId="7CFE2A9F" w14:textId="77777777" w:rsidR="00467198" w:rsidRPr="00F20DDA" w:rsidRDefault="00F20DDA" w:rsidP="00F377A5">
      <w:pPr>
        <w:numPr>
          <w:ilvl w:val="0"/>
          <w:numId w:val="25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Pevná složka vodného a stočného se stanoví podle kapacity vodoměru (§ 32 odst.1 písm. a) vyhlášky č.</w:t>
      </w:r>
      <w:r w:rsidR="007615F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 </w:t>
      </w:r>
      <w:r w:rsidRP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428/2001 Sb., kterou se provádí zákon č. 274/2001 Sb., o vodovodech a kanalizacích).</w:t>
      </w:r>
    </w:p>
    <w:p w14:paraId="3DB61703" w14:textId="77777777" w:rsidR="00467198" w:rsidRDefault="00F20DDA" w:rsidP="00F377A5">
      <w:pPr>
        <w:numPr>
          <w:ilvl w:val="0"/>
          <w:numId w:val="25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Výši pevné složky </w:t>
      </w:r>
      <w:r w:rsidR="007615F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pro nemovitosti podle čl. 1 písm. a) </w:t>
      </w:r>
      <w:r w:rsidRP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projednává a schvaluje představenstvo společnosti Vodovody a kanalizace Beroun, a.s. spolu s cenou vodného a stočného na další kalendářní rok</w:t>
      </w:r>
      <w:r w:rsidR="00467198" w:rsidRPr="0046719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.</w:t>
      </w:r>
    </w:p>
    <w:p w14:paraId="0D9DB4AC" w14:textId="77777777" w:rsidR="007615FE" w:rsidRPr="00467198" w:rsidRDefault="007615FE" w:rsidP="00F377A5">
      <w:pPr>
        <w:numPr>
          <w:ilvl w:val="0"/>
          <w:numId w:val="25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Výši pevné složky </w:t>
      </w:r>
      <w:r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pro nemovitosti podle čl. 1 písm. b) </w:t>
      </w:r>
      <w:r w:rsidRP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projednává a schvaluje </w:t>
      </w:r>
      <w:r>
        <w:rPr>
          <w:rFonts w:ascii="Myriad Pro" w:eastAsia="Arial Unicode MS" w:hAnsi="Myriad Pro" w:cs="Myriad Pro"/>
          <w:color w:val="000000"/>
          <w:sz w:val="20"/>
          <w:lang w:eastAsia="zh-CN" w:bidi="hi-IN"/>
        </w:rPr>
        <w:t>zastupitelstvo obce</w:t>
      </w:r>
      <w:r w:rsidRP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 spolu s cenou vodného a stočného na další kalendářní rok</w:t>
      </w:r>
      <w:r w:rsidRPr="0046719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.</w:t>
      </w:r>
    </w:p>
    <w:p w14:paraId="7628D125" w14:textId="77777777" w:rsidR="007615FE" w:rsidRDefault="007615FE" w:rsidP="00F377A5">
      <w:pPr>
        <w:pStyle w:val="Pa37"/>
        <w:spacing w:before="160"/>
        <w:jc w:val="center"/>
        <w:rPr>
          <w:b/>
          <w:sz w:val="20"/>
        </w:rPr>
      </w:pPr>
    </w:p>
    <w:p w14:paraId="16EC6E28" w14:textId="77777777" w:rsidR="007615FE" w:rsidRDefault="007615FE" w:rsidP="00F377A5">
      <w:pPr>
        <w:pStyle w:val="Pa37"/>
        <w:spacing w:before="160"/>
        <w:jc w:val="center"/>
        <w:rPr>
          <w:b/>
          <w:sz w:val="20"/>
        </w:rPr>
      </w:pPr>
    </w:p>
    <w:p w14:paraId="074AB5CC" w14:textId="77777777" w:rsidR="00467198" w:rsidRPr="00FE579D" w:rsidRDefault="00467198" w:rsidP="00F377A5">
      <w:pPr>
        <w:pStyle w:val="Pa37"/>
        <w:spacing w:before="160"/>
        <w:jc w:val="center"/>
        <w:rPr>
          <w:b/>
          <w:sz w:val="20"/>
        </w:rPr>
      </w:pPr>
      <w:r w:rsidRPr="00FE579D">
        <w:rPr>
          <w:b/>
          <w:sz w:val="20"/>
        </w:rPr>
        <w:lastRenderedPageBreak/>
        <w:t>Čl. 4</w:t>
      </w:r>
    </w:p>
    <w:p w14:paraId="582D0E9A" w14:textId="77777777" w:rsidR="00467198" w:rsidRPr="00F377A5" w:rsidRDefault="00F20DDA" w:rsidP="00F20DDA">
      <w:pPr>
        <w:pStyle w:val="Nzvylnk"/>
        <w:tabs>
          <w:tab w:val="left" w:pos="3015"/>
          <w:tab w:val="center" w:pos="4536"/>
        </w:tabs>
        <w:spacing w:before="20" w:afterLines="40" w:after="96" w:line="360" w:lineRule="auto"/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</w:pPr>
      <w:r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Z</w:t>
      </w:r>
      <w:r w:rsidR="00467198" w:rsidRPr="00F377A5"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rušovací ustanovení</w:t>
      </w:r>
    </w:p>
    <w:p w14:paraId="53960C53" w14:textId="77777777" w:rsidR="00467198" w:rsidRPr="00F377A5" w:rsidRDefault="00467198" w:rsidP="00F377A5">
      <w:pPr>
        <w:numPr>
          <w:ilvl w:val="0"/>
          <w:numId w:val="24"/>
        </w:numPr>
        <w:spacing w:before="120" w:line="264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F377A5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Zrušuje se obecně závazná vyhláška č. </w:t>
      </w:r>
      <w:r w:rsidR="00F20DDA" w:rsidRPr="007615F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1</w:t>
      </w:r>
      <w:r w:rsidR="00F377A5" w:rsidRPr="007615F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/2016</w:t>
      </w:r>
      <w:r w:rsidR="00F20DDA" w:rsidRPr="007615F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, kterou</w:t>
      </w:r>
      <w:r w:rsidR="00F20DDA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 se stanovuje úhrada vodného ve dvousložkové formě</w:t>
      </w:r>
      <w:r w:rsidRPr="00F377A5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, ze dne </w:t>
      </w:r>
      <w:r w:rsidR="00F377A5" w:rsidRPr="00F377A5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26. 5. 2016</w:t>
      </w:r>
      <w:r w:rsidRPr="00F377A5">
        <w:rPr>
          <w:rFonts w:ascii="Arial" w:hAnsi="Arial" w:cs="Arial"/>
          <w:sz w:val="22"/>
          <w:szCs w:val="22"/>
        </w:rPr>
        <w:t>.</w:t>
      </w:r>
    </w:p>
    <w:p w14:paraId="3E63B8F3" w14:textId="77777777" w:rsidR="008F4521" w:rsidRDefault="008F4521">
      <w:pPr>
        <w:pStyle w:val="Default"/>
        <w:rPr>
          <w:rFonts w:hint="eastAsia"/>
          <w:sz w:val="20"/>
        </w:rPr>
      </w:pPr>
    </w:p>
    <w:p w14:paraId="12BB123B" w14:textId="77777777" w:rsidR="008F4521" w:rsidRDefault="008F4521" w:rsidP="00F377A5">
      <w:pPr>
        <w:pStyle w:val="Pa37"/>
        <w:spacing w:before="160"/>
        <w:jc w:val="center"/>
      </w:pPr>
      <w:r>
        <w:rPr>
          <w:b/>
          <w:sz w:val="20"/>
        </w:rPr>
        <w:t xml:space="preserve">Čl. </w:t>
      </w:r>
      <w:r w:rsidR="00F20DDA">
        <w:rPr>
          <w:b/>
          <w:sz w:val="20"/>
        </w:rPr>
        <w:t>5</w:t>
      </w:r>
    </w:p>
    <w:p w14:paraId="2DB70DA5" w14:textId="77777777" w:rsidR="008F4521" w:rsidRDefault="008F4521" w:rsidP="00F377A5">
      <w:pPr>
        <w:pStyle w:val="Pa38"/>
        <w:spacing w:before="20" w:after="40" w:line="360" w:lineRule="auto"/>
        <w:jc w:val="center"/>
      </w:pPr>
      <w:r>
        <w:rPr>
          <w:b/>
          <w:sz w:val="20"/>
        </w:rPr>
        <w:t xml:space="preserve">Účinnost </w:t>
      </w:r>
    </w:p>
    <w:p w14:paraId="62932CDC" w14:textId="77777777" w:rsidR="00B369B2" w:rsidRDefault="008F4521" w:rsidP="00F377A5">
      <w:pPr>
        <w:pStyle w:val="Pa4"/>
        <w:spacing w:before="40" w:after="40" w:line="360" w:lineRule="auto"/>
        <w:ind w:left="397"/>
        <w:jc w:val="both"/>
        <w:rPr>
          <w:sz w:val="20"/>
        </w:rPr>
      </w:pPr>
      <w:r w:rsidRPr="00861483">
        <w:rPr>
          <w:sz w:val="20"/>
        </w:rPr>
        <w:t>Tato vyhláška nabývá účinnosti dne</w:t>
      </w:r>
      <w:r w:rsidR="00861483" w:rsidRPr="00861483">
        <w:rPr>
          <w:sz w:val="20"/>
        </w:rPr>
        <w:t>m</w:t>
      </w:r>
      <w:r w:rsidRPr="00861483">
        <w:rPr>
          <w:sz w:val="20"/>
        </w:rPr>
        <w:t xml:space="preserve"> 1. </w:t>
      </w:r>
      <w:r w:rsidR="00861483" w:rsidRPr="00861483">
        <w:rPr>
          <w:sz w:val="20"/>
        </w:rPr>
        <w:t>1</w:t>
      </w:r>
      <w:r w:rsidRPr="00861483">
        <w:rPr>
          <w:sz w:val="20"/>
        </w:rPr>
        <w:t>. 20</w:t>
      </w:r>
      <w:r w:rsidR="00861483" w:rsidRPr="00861483">
        <w:rPr>
          <w:sz w:val="20"/>
        </w:rPr>
        <w:t>2</w:t>
      </w:r>
      <w:r w:rsidR="00F20DDA">
        <w:rPr>
          <w:sz w:val="20"/>
        </w:rPr>
        <w:t>1</w:t>
      </w:r>
      <w:r w:rsidRPr="00861483">
        <w:rPr>
          <w:sz w:val="20"/>
        </w:rPr>
        <w:t>.</w:t>
      </w:r>
    </w:p>
    <w:p w14:paraId="432CDD6C" w14:textId="77777777" w:rsidR="00F377A5" w:rsidRDefault="00F377A5" w:rsidP="00F377A5">
      <w:pPr>
        <w:pStyle w:val="Pa4"/>
        <w:spacing w:before="40" w:after="40" w:line="360" w:lineRule="auto"/>
        <w:ind w:left="397"/>
        <w:jc w:val="both"/>
        <w:rPr>
          <w:sz w:val="20"/>
        </w:rPr>
      </w:pPr>
    </w:p>
    <w:p w14:paraId="2B37487C" w14:textId="77777777" w:rsidR="00E8329F" w:rsidRPr="00F377A5" w:rsidRDefault="00E8329F" w:rsidP="00F377A5">
      <w:pPr>
        <w:pStyle w:val="Pa4"/>
        <w:spacing w:before="40" w:after="40" w:line="360" w:lineRule="auto"/>
        <w:ind w:left="397"/>
        <w:jc w:val="both"/>
        <w:rPr>
          <w:rFonts w:hint="eastAsia"/>
          <w:sz w:val="20"/>
        </w:rPr>
      </w:pPr>
    </w:p>
    <w:p w14:paraId="02E48522" w14:textId="77777777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i/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.......................................... </w:t>
      </w:r>
    </w:p>
    <w:p w14:paraId="13D412CA" w14:textId="77777777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</w:r>
      <w:r>
        <w:rPr>
          <w:sz w:val="20"/>
        </w:rPr>
        <w:tab/>
        <w:t>Ing. Martina Sionková</w:t>
      </w:r>
    </w:p>
    <w:p w14:paraId="49E19405" w14:textId="77777777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</w:r>
      <w:r>
        <w:rPr>
          <w:sz w:val="20"/>
        </w:rPr>
        <w:tab/>
        <w:t>místostarostka</w:t>
      </w:r>
    </w:p>
    <w:p w14:paraId="6DF85CFB" w14:textId="77777777" w:rsidR="008F4521" w:rsidRDefault="008F4521">
      <w:pPr>
        <w:pStyle w:val="Default"/>
        <w:spacing w:before="380" w:line="201" w:lineRule="atLeast"/>
        <w:jc w:val="both"/>
        <w:rPr>
          <w:sz w:val="20"/>
        </w:rPr>
      </w:pPr>
    </w:p>
    <w:p w14:paraId="6C13E8DD" w14:textId="77777777" w:rsidR="00861483" w:rsidRDefault="008F4521" w:rsidP="00861483">
      <w:pPr>
        <w:tabs>
          <w:tab w:val="right" w:leader="dot" w:pos="1980"/>
          <w:tab w:val="right" w:leader="dot" w:pos="3060"/>
        </w:tabs>
      </w:pPr>
      <w:r>
        <w:rPr>
          <w:sz w:val="20"/>
        </w:rPr>
        <w:t xml:space="preserve">Vyvěšeno </w:t>
      </w:r>
      <w:r w:rsidR="00861483">
        <w:rPr>
          <w:sz w:val="20"/>
        </w:rPr>
        <w:t>el.</w:t>
      </w:r>
      <w:r>
        <w:rPr>
          <w:sz w:val="20"/>
        </w:rPr>
        <w:t xml:space="preserve"> dne:</w:t>
      </w:r>
      <w:r w:rsidR="00E8329F">
        <w:rPr>
          <w:sz w:val="20"/>
        </w:rPr>
        <w:t xml:space="preserve"> 14. 10. 2020</w:t>
      </w:r>
      <w:r w:rsidR="00861483" w:rsidRPr="0011252A">
        <w:rPr>
          <w:color w:val="FFFFFF"/>
          <w:sz w:val="20"/>
        </w:rPr>
        <w:tab/>
      </w:r>
      <w:r w:rsidR="00E8329F">
        <w:rPr>
          <w:sz w:val="20"/>
        </w:rPr>
        <w:tab/>
      </w:r>
      <w:r w:rsidR="00E8329F">
        <w:rPr>
          <w:sz w:val="20"/>
        </w:rPr>
        <w:tab/>
      </w:r>
      <w:r w:rsidR="00E8329F">
        <w:rPr>
          <w:sz w:val="20"/>
        </w:rPr>
        <w:tab/>
      </w:r>
      <w:r w:rsidR="00E8329F">
        <w:rPr>
          <w:sz w:val="20"/>
        </w:rPr>
        <w:tab/>
      </w:r>
      <w:r w:rsidR="00E8329F">
        <w:rPr>
          <w:sz w:val="20"/>
        </w:rPr>
        <w:tab/>
      </w:r>
      <w:r w:rsidR="00861483">
        <w:rPr>
          <w:rFonts w:ascii="Myriad Pro" w:hAnsi="Myriad Pro" w:cs="Myriad Pro"/>
          <w:color w:val="000000"/>
          <w:sz w:val="20"/>
        </w:rPr>
        <w:t>Sejmuto el. dne:</w:t>
      </w:r>
    </w:p>
    <w:p w14:paraId="52D964D7" w14:textId="77777777" w:rsidR="008F4521" w:rsidRDefault="008F4521">
      <w:pPr>
        <w:pStyle w:val="Default"/>
        <w:spacing w:before="380" w:line="201" w:lineRule="atLeast"/>
        <w:jc w:val="both"/>
      </w:pPr>
    </w:p>
    <w:p w14:paraId="78FE5E00" w14:textId="77777777" w:rsidR="008F4521" w:rsidRDefault="00861483">
      <w:pPr>
        <w:pStyle w:val="Default"/>
        <w:spacing w:before="380" w:line="201" w:lineRule="atLeast"/>
        <w:jc w:val="both"/>
        <w:rPr>
          <w:sz w:val="20"/>
        </w:rPr>
      </w:pPr>
      <w:r>
        <w:rPr>
          <w:sz w:val="20"/>
        </w:rPr>
        <w:t>Vyvěšeno fyz. dne:</w:t>
      </w:r>
      <w:r w:rsidR="00E8329F">
        <w:rPr>
          <w:sz w:val="20"/>
        </w:rPr>
        <w:t xml:space="preserve"> 14. 10. 2020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Sejmuto fyz. dne:</w:t>
      </w:r>
    </w:p>
    <w:p w14:paraId="5169144B" w14:textId="77777777" w:rsidR="008F4521" w:rsidRDefault="008F4521">
      <w:pPr>
        <w:tabs>
          <w:tab w:val="right" w:leader="dot" w:pos="1980"/>
          <w:tab w:val="right" w:leader="dot" w:pos="3060"/>
        </w:tabs>
        <w:rPr>
          <w:rFonts w:ascii="Myriad Pro" w:hAnsi="Myriad Pro" w:cs="Myriad Pro"/>
          <w:color w:val="000000"/>
          <w:sz w:val="20"/>
        </w:rPr>
      </w:pPr>
    </w:p>
    <w:sectPr w:rsidR="008F4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E9AE" w14:textId="77777777" w:rsidR="009D1F24" w:rsidRDefault="009D1F24">
      <w:pPr>
        <w:rPr>
          <w:rFonts w:hint="eastAsia"/>
        </w:rPr>
      </w:pPr>
      <w:r>
        <w:separator/>
      </w:r>
    </w:p>
  </w:endnote>
  <w:endnote w:type="continuationSeparator" w:id="0">
    <w:p w14:paraId="510A48B4" w14:textId="77777777" w:rsidR="009D1F24" w:rsidRDefault="009D1F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Myriad Pro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B666" w14:textId="77777777" w:rsidR="0074742A" w:rsidRDefault="0074742A">
    <w:pPr>
      <w:pStyle w:val="Footer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6700" w14:textId="77777777" w:rsidR="008F4521" w:rsidRDefault="008F452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D801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F3CC" w14:textId="77777777" w:rsidR="009D1F24" w:rsidRDefault="009D1F24">
      <w:pPr>
        <w:rPr>
          <w:rFonts w:hint="eastAsia"/>
        </w:rPr>
      </w:pPr>
      <w:r>
        <w:separator/>
      </w:r>
    </w:p>
  </w:footnote>
  <w:footnote w:type="continuationSeparator" w:id="0">
    <w:p w14:paraId="594CA15A" w14:textId="77777777" w:rsidR="009D1F24" w:rsidRDefault="009D1F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60ED" w14:textId="77777777" w:rsidR="0074742A" w:rsidRDefault="0074742A">
    <w:pPr>
      <w:pStyle w:val="Header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FA06" w14:textId="77777777" w:rsidR="008F4521" w:rsidRDefault="008F4521">
    <w:pPr>
      <w:pStyle w:val="Title"/>
    </w:pPr>
    <w:r>
      <w:rPr>
        <w:sz w:val="36"/>
        <w:szCs w:val="36"/>
      </w:rPr>
      <w:t>Obec Vysoký Újezd</w:t>
    </w:r>
  </w:p>
  <w:p w14:paraId="1E3F8F53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076A2026" w14:textId="77777777" w:rsidR="008F4521" w:rsidRDefault="0002603A">
    <w:pPr>
      <w:pStyle w:val="Vodorovnra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C02791" wp14:editId="01BAB94D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A61F8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L0IDu7gAAAACw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6196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DF92D7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6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9" w15:restartNumberingAfterBreak="0">
    <w:nsid w:val="618506DA"/>
    <w:multiLevelType w:val="hybridMultilevel"/>
    <w:tmpl w:val="596C0D9E"/>
    <w:lvl w:ilvl="0" w:tplc="88443F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18"/>
  </w:num>
  <w:num w:numId="10">
    <w:abstractNumId w:val="19"/>
  </w:num>
  <w:num w:numId="11">
    <w:abstractNumId w:val="21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15"/>
  </w:num>
  <w:num w:numId="17">
    <w:abstractNumId w:val="9"/>
  </w:num>
  <w:num w:numId="18">
    <w:abstractNumId w:val="24"/>
  </w:num>
  <w:num w:numId="19">
    <w:abstractNumId w:val="13"/>
  </w:num>
  <w:num w:numId="20">
    <w:abstractNumId w:val="11"/>
  </w:num>
  <w:num w:numId="21">
    <w:abstractNumId w:val="7"/>
  </w:num>
  <w:num w:numId="22">
    <w:abstractNumId w:val="14"/>
  </w:num>
  <w:num w:numId="23">
    <w:abstractNumId w:val="10"/>
  </w:num>
  <w:num w:numId="24">
    <w:abstractNumId w:val="17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A"/>
    <w:rsid w:val="0002603A"/>
    <w:rsid w:val="00064B82"/>
    <w:rsid w:val="000F10B9"/>
    <w:rsid w:val="0011252A"/>
    <w:rsid w:val="001E1A12"/>
    <w:rsid w:val="002F001E"/>
    <w:rsid w:val="003157DC"/>
    <w:rsid w:val="003844F0"/>
    <w:rsid w:val="003A4E2F"/>
    <w:rsid w:val="00464C1C"/>
    <w:rsid w:val="00467198"/>
    <w:rsid w:val="00470CC2"/>
    <w:rsid w:val="005330A8"/>
    <w:rsid w:val="005E2471"/>
    <w:rsid w:val="00730352"/>
    <w:rsid w:val="0074742A"/>
    <w:rsid w:val="007615FE"/>
    <w:rsid w:val="00797B14"/>
    <w:rsid w:val="007E5FFA"/>
    <w:rsid w:val="00831653"/>
    <w:rsid w:val="00846DFD"/>
    <w:rsid w:val="00854DB8"/>
    <w:rsid w:val="00861483"/>
    <w:rsid w:val="008F4521"/>
    <w:rsid w:val="009174C3"/>
    <w:rsid w:val="00936982"/>
    <w:rsid w:val="00972F93"/>
    <w:rsid w:val="009C61FC"/>
    <w:rsid w:val="009D1F24"/>
    <w:rsid w:val="00AA48A9"/>
    <w:rsid w:val="00AB6AF5"/>
    <w:rsid w:val="00B369B2"/>
    <w:rsid w:val="00B9156A"/>
    <w:rsid w:val="00C21877"/>
    <w:rsid w:val="00C82716"/>
    <w:rsid w:val="00C87A27"/>
    <w:rsid w:val="00E2206A"/>
    <w:rsid w:val="00E4422E"/>
    <w:rsid w:val="00E82CA4"/>
    <w:rsid w:val="00E8329F"/>
    <w:rsid w:val="00E85C93"/>
    <w:rsid w:val="00EC7927"/>
    <w:rsid w:val="00EF3688"/>
    <w:rsid w:val="00F20DDA"/>
    <w:rsid w:val="00F377A5"/>
    <w:rsid w:val="00F559DA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2552DC4"/>
  <w15:chartTrackingRefBased/>
  <w15:docId w15:val="{8B3D0941-005A-1E4D-BDE6-BFE00B4D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14"/>
    <w:rPr>
      <w:rFonts w:eastAsia="Times New Roman"/>
      <w:sz w:val="24"/>
      <w:szCs w:val="24"/>
      <w:lang w:val="cs-C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">
    <w:name w:val="Standardní písmo odstavce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">
    <w:name w:val="Značka pozn.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">
    <w:name w:val="Odkaz na vysvětlivky"/>
    <w:rPr>
      <w:vertAlign w:val="superscript"/>
    </w:rPr>
  </w:style>
  <w:style w:type="character" w:customStyle="1" w:styleId="Odkaznakoment">
    <w:name w:val="Odkaz na komentář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Titulek">
    <w:name w:val="Titulek"/>
    <w:basedOn w:val="Normal"/>
    <w:pPr>
      <w:suppressLineNumbers/>
      <w:spacing w:before="120" w:after="120"/>
    </w:pPr>
    <w:rPr>
      <w:i/>
      <w:iCs/>
    </w:rPr>
  </w:style>
  <w:style w:type="paragraph" w:styleId="Heading1">
    <w:name w:val="heading 1"/>
    <w:basedOn w:val="Normal"/>
    <w:next w:val="Normal"/>
    <w:pPr>
      <w:keepNext/>
      <w:numPr>
        <w:numId w:val="3"/>
      </w:numPr>
      <w:jc w:val="center"/>
    </w:pPr>
    <w:rPr>
      <w:b/>
      <w:bCs/>
      <w:sz w:val="36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al"/>
    <w:pPr>
      <w:spacing w:before="120"/>
      <w:ind w:left="540"/>
    </w:pPr>
  </w:style>
  <w:style w:type="paragraph" w:styleId="Header">
    <w:name w:val="header"/>
    <w:basedOn w:val="Normal"/>
    <w:pPr>
      <w:suppressLineNumbers/>
    </w:p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al"/>
    <w:next w:val="BodyText"/>
    <w:pPr>
      <w:suppressLineNumbers/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">
    <w:name w:val="Text bubliny"/>
    <w:basedOn w:val="Normal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val="cs-CZ"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al"/>
    <w:rPr>
      <w:rFonts w:cs="Mangal"/>
      <w:sz w:val="20"/>
      <w:szCs w:val="18"/>
    </w:rPr>
  </w:style>
  <w:style w:type="paragraph" w:customStyle="1" w:styleId="Pedmtkomente">
    <w:name w:val="Předmět komentáře"/>
    <w:basedOn w:val="Textkomente1"/>
    <w:next w:val="Textkomente1"/>
    <w:rPr>
      <w:b/>
      <w:bCs/>
    </w:rPr>
  </w:style>
  <w:style w:type="paragraph" w:styleId="FootnoteText0">
    <w:name w:val="footnote text"/>
    <w:basedOn w:val="Normal"/>
    <w:link w:val="FootnoteTextChar"/>
    <w:pPr>
      <w:suppressLineNumbers/>
      <w:ind w:left="339" w:hanging="339"/>
    </w:pPr>
    <w:rPr>
      <w:sz w:val="20"/>
      <w:szCs w:val="20"/>
    </w:rPr>
  </w:style>
  <w:style w:type="paragraph" w:styleId="Footer0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0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komente">
    <w:name w:val="Text komentáře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link w:val="FootnoteText0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Heading7Char">
    <w:name w:val="Heading 7 Char"/>
    <w:link w:val="Heading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Heading8Char">
    <w:name w:val="Heading 8 Char"/>
    <w:link w:val="Heading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Heading9Char">
    <w:name w:val="Heading 9 Char"/>
    <w:link w:val="Heading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al"/>
    <w:rsid w:val="007E5FFA"/>
    <w:pPr>
      <w:keepNext/>
      <w:keepLines/>
      <w:spacing w:before="360" w:after="60"/>
      <w:jc w:val="center"/>
    </w:pPr>
    <w:rPr>
      <w:b/>
      <w:bCs/>
      <w:szCs w:val="20"/>
      <w:lang w:eastAsia="cs-CZ"/>
    </w:rPr>
  </w:style>
  <w:style w:type="paragraph" w:customStyle="1" w:styleId="Paragraf">
    <w:name w:val="Paragraf"/>
    <w:basedOn w:val="Normal"/>
    <w:next w:val="Textodstavce"/>
    <w:rsid w:val="007E5FFA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al"/>
    <w:next w:val="Textodstavce"/>
    <w:rsid w:val="007E5FFA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al"/>
    <w:rsid w:val="007E5FFA"/>
    <w:pPr>
      <w:numPr>
        <w:ilvl w:val="4"/>
        <w:numId w:val="12"/>
      </w:numPr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al"/>
    <w:rsid w:val="007E5FFA"/>
    <w:pPr>
      <w:numPr>
        <w:ilvl w:val="3"/>
        <w:numId w:val="12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al"/>
    <w:rsid w:val="007E5FFA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CommentReference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27"/>
    <w:rPr>
      <w:rFonts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FE579D"/>
    <w:rPr>
      <w:rFonts w:eastAsia="Times New Roman"/>
      <w:sz w:val="24"/>
      <w:szCs w:val="24"/>
      <w:lang w:val="cs-CZ"/>
    </w:rPr>
  </w:style>
  <w:style w:type="paragraph" w:styleId="ListParagraph">
    <w:name w:val="List Paragraph"/>
    <w:basedOn w:val="Normal"/>
    <w:uiPriority w:val="34"/>
    <w:qFormat/>
    <w:rsid w:val="007303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Martina Sionková</cp:lastModifiedBy>
  <cp:revision>2</cp:revision>
  <cp:lastPrinted>1601-01-01T00:00:00Z</cp:lastPrinted>
  <dcterms:created xsi:type="dcterms:W3CDTF">2022-12-07T14:19:00Z</dcterms:created>
  <dcterms:modified xsi:type="dcterms:W3CDTF">2022-12-07T14:19:00Z</dcterms:modified>
</cp:coreProperties>
</file>