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zev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OBEC TÝNIŠŤKO</w:t>
        <w:br/>
        <w:t>Zastupitelstvo obce Týnišťko</w:t>
      </w:r>
    </w:p>
    <w:p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Obecně závazná vyhláška obce Týnišťko,</w:t>
      </w:r>
    </w:p>
    <w:p>
      <w:pPr>
        <w:pStyle w:val="Odsazentlatextu"/>
        <w:spacing w:before="0" w:after="60"/>
        <w:ind w:left="708" w:hanging="0"/>
        <w:jc w:val="center"/>
        <w:rPr>
          <w:rFonts w:ascii="Arial" w:hAnsi="Arial" w:cs="Arial"/>
          <w:b/>
          <w:szCs w:val="24"/>
        </w:rPr>
      </w:pPr>
      <w:r>
        <w:rPr>
          <w:rFonts w:cs="Arial" w:ascii="Arial" w:hAnsi="Arial"/>
          <w:b/>
          <w:szCs w:val="24"/>
        </w:rPr>
        <w:t>kterou se vydává požární řád obce</w:t>
      </w:r>
    </w:p>
    <w:p>
      <w:pPr>
        <w:pStyle w:val="Odsazentlatextu"/>
        <w:ind w:left="708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Zastupitelstvo obce Týnišťko se na svém zasedání konaném dne 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>27.4.2026</w:t>
      </w:r>
      <w:r>
        <w:rPr>
          <w:rFonts w:cs="Arial" w:ascii="Arial" w:hAnsi="Arial"/>
          <w:color w:val="auto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</w:t>
        <w:br/>
        <w:t>Úvodní ustanovení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(1)</w:t>
        <w:tab/>
        <w:t xml:space="preserve">Tato vyhláška upravuje organizaci a zásady zabezpečení požární ochrany v obci.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705" w:hanging="705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(2)</w:t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2</w:t>
        <w:br/>
        <w:t>Vymezení činnosti osob pověřených zabezpečováním požární ochrany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Ochrana životů, zdraví a majetku občanů před požáry, živelními pohromami a jinými mimořádnými událostmi na území obce Týnišťko (dále jen „obec“) je zajištěna jednotkou sboru dobrovolných hasičů obce (dále jen „JSDH obce“) podle čl. 5 této vyhlášky a dále jednotkami požární ochrany uvedenými v příloze č. 1 této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K zabezpečení úkolů na úseku požární ochrany byly na základě usnesení zastupitelstva obce dále pověřeny tyto orgány obce: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zastupitelstvo obce – projednáním</w:t>
      </w:r>
      <w:r>
        <w:rPr>
          <w:rFonts w:eastAsia="Times New Roman" w:cs="Arial" w:ascii="Arial" w:hAnsi="Arial"/>
          <w:lang w:val="cs-CZ" w:eastAsia="cs-CZ"/>
        </w:rPr>
        <w:t xml:space="preserve"> stavu požární ochrany v obci minimálně 1 x za 12 měsíců nebo vždy po závažné mimořádné události mající vztah k zajištění požární ochrany v obci,</w:t>
      </w:r>
    </w:p>
    <w:p>
      <w:pPr>
        <w:pStyle w:val="ListParagraph"/>
        <w:numPr>
          <w:ilvl w:val="0"/>
          <w:numId w:val="6"/>
        </w:numPr>
        <w:spacing w:lineRule="auto" w:line="240" w:before="0" w:after="0"/>
        <w:ind w:left="1418" w:hanging="851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  <w:t>starosta – zabezpečováním</w:t>
      </w:r>
      <w:r>
        <w:rPr>
          <w:rFonts w:eastAsia="Times New Roman" w:cs="Arial" w:ascii="Arial" w:hAnsi="Arial"/>
          <w:lang w:val="cs-CZ" w:eastAsia="cs-CZ"/>
        </w:rPr>
        <w:t xml:space="preserve"> pravidelných kontrol dodržování předpisů a plnění povinností obce na úseku požární ochrany vyplývajících z její samostatné působnosti, a to minimálně 1 x za 12 měsíců.</w:t>
      </w:r>
    </w:p>
    <w:p>
      <w:pPr>
        <w:pStyle w:val="ListParagraph"/>
        <w:spacing w:lineRule="auto" w:line="240" w:before="0" w:after="0"/>
        <w:ind w:left="1418" w:hanging="0"/>
        <w:contextualSpacing/>
        <w:jc w:val="both"/>
        <w:rPr>
          <w:rFonts w:ascii="Arial" w:hAnsi="Arial" w:cs="Arial"/>
          <w:lang w:val="cs-CZ"/>
        </w:rPr>
      </w:pPr>
      <w:r>
        <w:rPr>
          <w:rFonts w:cs="Arial" w:ascii="Arial" w:hAnsi="Arial"/>
          <w:lang w:val="cs-CZ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3</w:t>
        <w:br/>
        <w:t>Podmínky požární bezpečnosti při činnostech a v objektech se zvýšeným nebezpečím vzniku požáru se zřetelem na místní situaci</w:t>
      </w:r>
    </w:p>
    <w:p>
      <w:pPr>
        <w:pStyle w:val="Normal"/>
        <w:rPr>
          <w:rFonts w:ascii="Arial" w:hAnsi="Arial" w:cs="Arial"/>
          <w:b/>
          <w:i/>
          <w:i/>
          <w:sz w:val="22"/>
          <w:szCs w:val="22"/>
        </w:rPr>
      </w:pPr>
      <w:r>
        <w:rPr>
          <w:rFonts w:cs="Arial" w:ascii="Arial" w:hAnsi="Arial"/>
          <w:b/>
          <w:i/>
          <w:sz w:val="22"/>
          <w:szCs w:val="22"/>
        </w:rPr>
      </w:r>
    </w:p>
    <w:p>
      <w:pPr>
        <w:pStyle w:val="Normal"/>
        <w:numPr>
          <w:ilvl w:val="0"/>
          <w:numId w:val="9"/>
        </w:numPr>
        <w:spacing w:lineRule="auto" w:line="288" w:before="120" w:after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r>
        <w:rPr>
          <w:rFonts w:eastAsia="Calibri" w:cs="Arial" w:ascii="Arial" w:hAnsi="Arial"/>
          <w:sz w:val="22"/>
          <w:szCs w:val="22"/>
          <w:lang w:eastAsia="en-US"/>
        </w:rPr>
        <w:t xml:space="preserve">Podmínky zabezpečení požární ochrany v době zvýšeného nebezpečí vzniku požáru stanoví Pardubický kraj svým nařízením. </w:t>
      </w:r>
    </w:p>
    <w:p>
      <w:pPr>
        <w:pStyle w:val="Normal"/>
        <w:numPr>
          <w:ilvl w:val="0"/>
          <w:numId w:val="9"/>
        </w:numPr>
        <w:spacing w:lineRule="auto" w:line="288" w:before="120" w:after="120"/>
        <w:ind w:left="357" w:hanging="357"/>
        <w:jc w:val="both"/>
        <w:rPr>
          <w:rFonts w:ascii="Arial" w:hAnsi="Arial" w:eastAsia="Calibri" w:cs="Arial"/>
          <w:sz w:val="22"/>
          <w:szCs w:val="22"/>
          <w:lang w:eastAsia="en-US"/>
        </w:rPr>
      </w:pPr>
      <w:bookmarkStart w:id="0" w:name="_Toc53823656"/>
      <w:r>
        <w:rPr>
          <w:rFonts w:eastAsia="Calibri" w:cs="Arial" w:ascii="Arial" w:hAnsi="Arial"/>
          <w:sz w:val="22"/>
          <w:szCs w:val="22"/>
          <w:lang w:eastAsia="en-US"/>
        </w:rPr>
        <w:t xml:space="preserve">Obec nestanoví se zřetelem na místní situaci žádné další podmínky požární bezpečnosti při činnostech a v objektech se zvýšeným nebezpečím vzniku požáru, ani při akcích, kterých se zúčastňuje větší počet osob. </w:t>
      </w:r>
      <w:bookmarkEnd w:id="0"/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4</w:t>
        <w:br/>
        <w:t>Způsob nepřetržitého zabezpečení požární ochrany v 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Přijetí ohlášení požáru, živelní pohromy či jiné mimořádné události na území obce je zabezpečeno způsoby uvedenými v čl. 7.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3"/>
        </w:numPr>
        <w:spacing w:beforeAutospacing="0" w:before="0" w:afterAutospacing="0" w:after="0"/>
        <w:ind w:left="567" w:hanging="567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Ochrana životů, zdraví a majetku občanů před požáry, živelními pohromami a jinými mimořádnými událostmi na území obce je zabezpečena jednotkami požární ochrany uvedenými v čl. 5 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spacing w:beforeAutospacing="0" w:before="0" w:afterAutospacing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5</w:t>
        <w:br/>
        <w:t>Kategorie jednotky sboru dobrovolných hasičů obce, její početní stav a vybavení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Obec zřídila JSDH obce, jejíž kategorie, početní stav a vybavení jsou uvedeny v příloze č. 1 vyhlášky.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2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Členové JSDH obce se při vyhlášení požárního poplachu dostaví ve stanoveném čase do požární zbrojnice obce Týnišťko na adrese</w:t>
      </w:r>
      <w:r>
        <w:rPr>
          <w:rFonts w:cs="Arial" w:ascii="Arial" w:hAnsi="Arial"/>
          <w:color w:val="000000"/>
          <w:sz w:val="22"/>
          <w:szCs w:val="22"/>
          <w:shd w:fill="auto" w:val="clear"/>
        </w:rPr>
        <w:t xml:space="preserve"> u čísla popisného 34, a</w:t>
      </w:r>
      <w:r>
        <w:rPr>
          <w:rFonts w:cs="Arial" w:ascii="Arial" w:hAnsi="Arial"/>
          <w:color w:val="auto"/>
          <w:sz w:val="22"/>
          <w:szCs w:val="22"/>
        </w:rPr>
        <w:t>nebo na jiné místo, stanovené velitelem JSDH.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6</w:t>
        <w:br/>
        <w:t xml:space="preserve">Přehled o zdrojích vody pro hašení požárů a podmínky jejich trvalé použitelnosti 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>
        <w:rPr>
          <w:rStyle w:val="Ukotvenpoznmkypodarou"/>
          <w:rFonts w:cs="Arial" w:ascii="Arial" w:hAnsi="Arial"/>
          <w:color w:val="auto"/>
          <w:sz w:val="22"/>
          <w:szCs w:val="22"/>
        </w:rPr>
        <w:footnoteReference w:id="2"/>
      </w:r>
      <w:r>
        <w:rPr>
          <w:rFonts w:cs="Arial" w:ascii="Arial" w:hAnsi="Arial"/>
          <w:color w:val="auto"/>
          <w:sz w:val="22"/>
          <w:szCs w:val="22"/>
        </w:rPr>
        <w:t xml:space="preserve">. </w:t>
      </w:r>
    </w:p>
    <w:p>
      <w:pPr>
        <w:pStyle w:val="NormalWeb"/>
        <w:spacing w:beforeAutospacing="0" w:before="0" w:afterAutospacing="0" w:after="0"/>
        <w:ind w:left="567"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Zdroje vody pro hašení požárů jsou stanoveny v nařízení Pardubického kraje.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567" w:hanging="0"/>
        <w:rPr>
          <w:rFonts w:ascii="Arial" w:hAnsi="Arial" w:cs="Arial"/>
          <w:color w:val="auto"/>
          <w:sz w:val="22"/>
          <w:szCs w:val="22"/>
        </w:rPr>
      </w:pPr>
      <w:r>
        <w:rPr/>
      </w:r>
    </w:p>
    <w:p>
      <w:pPr>
        <w:pStyle w:val="NormalWeb"/>
        <w:numPr>
          <w:ilvl w:val="0"/>
          <w:numId w:val="4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  <w:shd w:fill="auto" w:val="clear"/>
        </w:rPr>
        <w:t>Obec nad rámec nařízení kraje nestanovila další zdroje vody pro hašení požárů.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  <w:highlight w:val="yellow"/>
        </w:rPr>
      </w:pPr>
      <w:r>
        <w:rPr>
          <w:rFonts w:cs="Arial" w:ascii="Arial" w:hAnsi="Arial"/>
          <w:color w:val="auto"/>
          <w:sz w:val="22"/>
          <w:szCs w:val="22"/>
          <w:highlight w:val="yellow"/>
        </w:rPr>
      </w:r>
    </w:p>
    <w:p>
      <w:pPr>
        <w:pStyle w:val="NormalWeb"/>
        <w:spacing w:beforeAutospacing="0" w:before="0" w:afterAutospacing="0" w:after="0"/>
        <w:ind w:firstLine="36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7</w:t>
        <w:br/>
        <w:t>Seznam míst, odkud lze hlásit požár, a způsob jejich označení</w:t>
      </w:r>
    </w:p>
    <w:p>
      <w:pPr>
        <w:pStyle w:val="Normal"/>
        <w:ind w:left="6372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numPr>
          <w:ilvl w:val="0"/>
          <w:numId w:val="5"/>
        </w:numPr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Místy zřízenými obcí, odkud lze hlásit požár a která jsou trvale označena tabulkou „Zde hlaste požár” nebo symbolem telefonního čísla „150” či „112“, jsou:</w:t>
      </w:r>
    </w:p>
    <w:p>
      <w:pPr>
        <w:pStyle w:val="NormalWeb"/>
        <w:numPr>
          <w:ilvl w:val="0"/>
          <w:numId w:val="0"/>
        </w:numPr>
        <w:spacing w:beforeAutospacing="0" w:before="0" w:afterAutospacing="0" w:after="0"/>
        <w:ind w:left="567"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"/>
        <w:numPr>
          <w:ilvl w:val="0"/>
          <w:numId w:val="8"/>
        </w:numPr>
        <w:ind w:left="720" w:hanging="153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budova obecního úřadu, čp.78</w:t>
        <w:tab/>
        <w:tab/>
        <w:t>tel. 778 737 571</w:t>
      </w:r>
    </w:p>
    <w:p>
      <w:pPr>
        <w:pStyle w:val="Normal"/>
        <w:ind w:left="72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5"/>
        </w:numPr>
        <w:ind w:left="567" w:hanging="567"/>
        <w:rPr>
          <w:rFonts w:ascii="Arial" w:hAnsi="Arial" w:cs="Arial"/>
        </w:rPr>
      </w:pPr>
      <w:r>
        <w:rPr>
          <w:rFonts w:cs="Arial" w:ascii="Arial" w:hAnsi="Arial"/>
        </w:rPr>
        <w:t>Požár lze dále hlásit telefonicky na tel. 150 nebo 112.</w:t>
      </w:r>
    </w:p>
    <w:p>
      <w:pPr>
        <w:pStyle w:val="Nadpis4"/>
        <w:jc w:val="center"/>
        <w:rPr>
          <w:rFonts w:ascii="Arial" w:hAnsi="Arial" w:cs="Arial"/>
          <w:b w:val="false"/>
          <w:bCs w:val="false"/>
          <w:i/>
          <w:i/>
          <w:iCs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iCs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8</w:t>
        <w:br/>
        <w:t>Způsob vyhlášení požárního poplachu v obci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567" w:hanging="567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Vyhlášení požárního poplachu v obci se provádí: </w:t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signálem „POŽÁRNÍ POPLACH”, který je vyhlašován přerušovaným tónem sirény po dobu jedné minuty (25 sec. tón – 10 sec. pauza – 25 sec. tón) nebo</w:t>
      </w:r>
    </w:p>
    <w:p>
      <w:pPr>
        <w:pStyle w:val="Normal"/>
        <w:numPr>
          <w:ilvl w:val="0"/>
          <w:numId w:val="7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signálem „POŽÁRNÍ POPLACH”, vyhlašovaným elektronickou sirénou na střeše požární zbrojnice (tlačítko je na zdi mezi vraty požární zbrojnice),</w:t>
      </w:r>
    </w:p>
    <w:p>
      <w:pPr>
        <w:pStyle w:val="NormalWeb"/>
        <w:numPr>
          <w:ilvl w:val="0"/>
          <w:numId w:val="7"/>
        </w:numPr>
        <w:spacing w:beforeAutospacing="0" w:before="0" w:afterAutospacing="0" w:after="0"/>
        <w:ind w:left="1418" w:hanging="851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 xml:space="preserve">v případě poruchy technických zařízení pro vyhlášení požárního poplachu se požární poplach v obci vyhlašuje voláním </w:t>
      </w:r>
      <w:r>
        <w:rPr>
          <w:rFonts w:cs="Arial" w:ascii="Arial" w:hAnsi="Arial"/>
          <w:sz w:val="22"/>
          <w:szCs w:val="22"/>
        </w:rPr>
        <w:t>„HO – ŘÍ”.</w:t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9</w:t>
      </w:r>
    </w:p>
    <w:p>
      <w:pPr>
        <w:pStyle w:val="Nzevzkona"/>
        <w:spacing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Seznam sil a prostředků jednotek požární ochrany</w:t>
      </w:r>
    </w:p>
    <w:p>
      <w:pPr>
        <w:pStyle w:val="NormalWeb"/>
        <w:spacing w:beforeAutospacing="0" w:before="0" w:afterAutospacing="0" w:after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</w:r>
    </w:p>
    <w:p>
      <w:pPr>
        <w:pStyle w:val="NormalWeb"/>
        <w:spacing w:beforeAutospacing="0" w:before="0" w:afterAutospacing="0" w:after="0"/>
        <w:ind w:hanging="0"/>
        <w:rPr>
          <w:rFonts w:ascii="Arial" w:hAnsi="Arial" w:cs="Arial"/>
          <w:color w:val="auto"/>
          <w:sz w:val="22"/>
          <w:szCs w:val="22"/>
        </w:rPr>
      </w:pPr>
      <w:r>
        <w:rPr>
          <w:rFonts w:cs="Arial" w:ascii="Arial" w:hAnsi="Arial"/>
          <w:color w:val="auto"/>
          <w:sz w:val="22"/>
          <w:szCs w:val="22"/>
        </w:rPr>
        <w:t>Seznam sil a prostředků jednotek požární ochrany podle výpisu z požárního poplachového plánu Pardubického kraje je uveden v příloze č. 1 vyhlášky.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adpis4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Čl. 10</w:t>
      </w:r>
    </w:p>
    <w:p>
      <w:pPr>
        <w:pStyle w:val="Tlotextu"/>
        <w:spacing w:before="0" w:after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Závěrečná ustanovení</w:t>
      </w:r>
    </w:p>
    <w:p>
      <w:pPr>
        <w:pStyle w:val="Seznamoslovan"/>
        <w:spacing w:before="0" w:after="0"/>
        <w:ind w:left="426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Seznamoslovan"/>
        <w:numPr>
          <w:ilvl w:val="0"/>
          <w:numId w:val="10"/>
        </w:numPr>
        <w:spacing w:before="0" w:after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obce Týnišťko, č. 4/2011, požární řád obce, ze dne 18. prosince 2011.</w:t>
      </w:r>
    </w:p>
    <w:p>
      <w:pPr>
        <w:pStyle w:val="Seznamoslovan"/>
        <w:spacing w:before="0" w:after="0"/>
        <w:ind w:left="361" w:hanging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</w:r>
    </w:p>
    <w:p>
      <w:pPr>
        <w:pStyle w:val="Seznamoslovan"/>
        <w:numPr>
          <w:ilvl w:val="0"/>
          <w:numId w:val="10"/>
        </w:numPr>
        <w:spacing w:before="0" w:after="0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počátkem patnáctého dne následujícího po dni jejího vyhlášení.</w:t>
      </w:r>
    </w:p>
    <w:tbl>
      <w:tblPr>
        <w:tblW w:w="9639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18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Stanislav Kopecký v. r.</w:t>
              <w:br/>
              <w:t xml:space="preserve"> starosta</w:t>
            </w:r>
          </w:p>
        </w:tc>
        <w:tc>
          <w:tcPr>
            <w:tcW w:w="4818" w:type="dxa"/>
            <w:tcBorders/>
            <w:vAlign w:val="bottom"/>
          </w:tcPr>
          <w:p>
            <w:pPr>
              <w:pStyle w:val="PodpisovePole"/>
              <w:widowControl w:val="false"/>
              <w:rPr/>
            </w:pPr>
            <w:r>
              <w:rPr/>
              <w:t>Jiří Hájek v. r.</w:t>
              <w:br/>
              <w:t xml:space="preserve"> místostarosta</w:t>
            </w:r>
          </w:p>
        </w:tc>
      </w:tr>
    </w:tbl>
    <w:p>
      <w:pPr>
        <w:pStyle w:val="Normal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Normal"/>
        <w:spacing w:before="0" w:after="120"/>
        <w:rPr>
          <w:rFonts w:ascii="Arial" w:hAnsi="Arial" w:cs="Arial"/>
          <w:sz w:val="22"/>
          <w:szCs w:val="22"/>
        </w:rPr>
      </w:pPr>
      <w:r>
        <w:rPr/>
      </w:r>
    </w:p>
    <w:sectPr>
      <w:footnotePr>
        <w:numFmt w:val="decimal"/>
        <w:numRestart w:val="eachSect"/>
      </w:footnote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/>
        </w:rPr>
      </w:pPr>
      <w:r>
        <w:rPr>
          <w:rStyle w:val="Znakypropoznmkupodarou"/>
        </w:rPr>
        <w:footnoteRef/>
      </w:r>
      <w:r>
        <w:rPr>
          <w:rFonts w:ascii="Arial" w:hAnsi="Arial"/>
          <w:color w:val="17365D"/>
        </w:rPr>
        <w:t xml:space="preserve"> </w:t>
      </w:r>
      <w:r>
        <w:rPr>
          <w:rFonts w:ascii="Arial" w:hAnsi="Arial"/>
        </w:rPr>
        <w:t>§ 7 odst. 1 zákona o požární ochraně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0"/>
        </w:tabs>
        <w:ind w:left="185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7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329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401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73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45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617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89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614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  <w:rPr/>
    </w:lvl>
    <w:lvl w:ilvl="2">
      <w:start w:val="1"/>
      <w:numFmt w:val="decimal"/>
      <w:lvlText w:val="%3."/>
      <w:lvlJc w:val="right"/>
      <w:pPr>
        <w:tabs>
          <w:tab w:val="num" w:pos="0"/>
        </w:tabs>
        <w:ind w:left="1134" w:hanging="113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0"/>
        </w:tabs>
        <w:ind w:left="361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1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1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1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1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1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1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1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1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4">
    <w:name w:val="Heading 4"/>
    <w:basedOn w:val="Normal"/>
    <w:next w:val="Normal"/>
    <w:link w:val="Nadpis4Char"/>
    <w:uiPriority w:val="9"/>
    <w:unhideWhenUsed/>
    <w:qFormat/>
    <w:rsid w:val="00f64363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al"/>
    <w:next w:val="Normal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al"/>
    <w:next w:val="Normal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nakypropoznmkupodarou">
    <w:name w:val="Znaky pro poznámku pod čarou"/>
    <w:semiHidden/>
    <w:qFormat/>
    <w:rPr>
      <w:vertAlign w:val="superscript"/>
    </w:rPr>
  </w:style>
  <w:style w:type="character" w:styleId="Ukotvenpoznmkypodarou">
    <w:name w:val="Footnote Reference"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Nadpis4Char" w:customStyle="1">
    <w:name w:val="Nadpis 4 Char"/>
    <w:uiPriority w:val="9"/>
    <w:qFormat/>
    <w:rsid w:val="00f64363"/>
    <w:rPr>
      <w:rFonts w:ascii="Calibri" w:hAnsi="Calibri" w:eastAsia="Times New Roman" w:cs="Times New Roman"/>
      <w:b/>
      <w:bCs/>
      <w:sz w:val="28"/>
      <w:szCs w:val="28"/>
    </w:rPr>
  </w:style>
  <w:style w:type="character" w:styleId="Nadpis5Char" w:customStyle="1">
    <w:name w:val="Nadpis 5 Char"/>
    <w:uiPriority w:val="9"/>
    <w:semiHidden/>
    <w:qFormat/>
    <w:rsid w:val="00f64363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TextpoznpodarouChar" w:customStyle="1">
    <w:name w:val="Text pozn. pod čarou Char"/>
    <w:uiPriority w:val="99"/>
    <w:semiHidden/>
    <w:qFormat/>
    <w:rsid w:val="00f64363"/>
    <w:rPr/>
  </w:style>
  <w:style w:type="character" w:styleId="NzevChar" w:customStyle="1">
    <w:name w:val="Název Char"/>
    <w:uiPriority w:val="10"/>
    <w:qFormat/>
    <w:rsid w:val="00f64363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Zkladntext3Char" w:customStyle="1">
    <w:name w:val="Základní text 3 Char"/>
    <w:link w:val="BodyText3"/>
    <w:uiPriority w:val="99"/>
    <w:semiHidden/>
    <w:qFormat/>
    <w:rsid w:val="00eb68de"/>
    <w:rPr>
      <w:sz w:val="16"/>
      <w:szCs w:val="16"/>
    </w:rPr>
  </w:style>
  <w:style w:type="character" w:styleId="Nadpis7Char" w:customStyle="1">
    <w:name w:val="Nadpis 7 Char"/>
    <w:uiPriority w:val="9"/>
    <w:semiHidden/>
    <w:qFormat/>
    <w:rsid w:val="00264860"/>
    <w:rPr>
      <w:rFonts w:ascii="Calibri" w:hAnsi="Calibri" w:eastAsia="Times New Roman" w:cs="Times New Roman"/>
      <w:sz w:val="24"/>
      <w:szCs w:val="24"/>
    </w:rPr>
  </w:style>
  <w:style w:type="character" w:styleId="Znakyprovysvtlivky">
    <w:name w:val="Znaky pro vysvětlivky"/>
    <w:qFormat/>
    <w:rPr/>
  </w:style>
  <w:style w:type="character" w:styleId="Ukotvenvysvtlivky">
    <w:name w:val="Endnote Reference"/>
    <w:rPr>
      <w:vertAlign w:val="superscript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link w:val="TextpoznpodarouChar"/>
    <w:uiPriority w:val="99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suppressAutoHyphens w:val="true"/>
      <w:overflowPunct w:val="fals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qFormat/>
    <w:rsid w:val="00f64363"/>
    <w:pPr>
      <w:spacing w:beforeAutospacing="1" w:afterAutospacing="1"/>
      <w:ind w:firstLine="500"/>
      <w:jc w:val="both"/>
    </w:pPr>
    <w:rPr>
      <w:color w:val="000000"/>
    </w:rPr>
  </w:style>
  <w:style w:type="paragraph" w:styleId="Nzevzkona" w:customStyle="1">
    <w:name w:val="název zákona"/>
    <w:basedOn w:val="Nzev"/>
    <w:qFormat/>
    <w:rsid w:val="00f64363"/>
    <w:pPr/>
    <w:rPr/>
  </w:style>
  <w:style w:type="paragraph" w:styleId="Nzev">
    <w:name w:val="Title"/>
    <w:basedOn w:val="Normal"/>
    <w:next w:val="Normal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Seznamoslovan" w:customStyle="1">
    <w:name w:val="Seznam očíslovaný"/>
    <w:basedOn w:val="Tlotextu"/>
    <w:qFormat/>
    <w:rsid w:val="00f64363"/>
    <w:pPr>
      <w:widowControl w:val="false"/>
      <w:spacing w:before="0" w:after="113"/>
      <w:ind w:left="425" w:hanging="424"/>
      <w:jc w:val="both"/>
    </w:pPr>
    <w:rPr/>
  </w:style>
  <w:style w:type="paragraph" w:styleId="ListParagraph">
    <w:name w:val="List Paragraph"/>
    <w:basedOn w:val="Normal"/>
    <w:uiPriority w:val="34"/>
    <w:qFormat/>
    <w:rsid w:val="00f64363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paragraph" w:styleId="BodyText3">
    <w:name w:val="Body Text 3"/>
    <w:basedOn w:val="Normal"/>
    <w:link w:val="Zkladntext3Char"/>
    <w:uiPriority w:val="99"/>
    <w:semiHidden/>
    <w:unhideWhenUsed/>
    <w:qFormat/>
    <w:rsid w:val="00eb68de"/>
    <w:pPr>
      <w:spacing w:before="0" w:after="120"/>
    </w:pPr>
    <w:rPr>
      <w:sz w:val="16"/>
      <w:szCs w:val="16"/>
    </w:rPr>
  </w:style>
  <w:style w:type="paragraph" w:styleId="Hlava" w:customStyle="1">
    <w:name w:val="Hlava"/>
    <w:basedOn w:val="Normal"/>
    <w:qFormat/>
    <w:rsid w:val="00264860"/>
    <w:pPr>
      <w:spacing w:before="240" w:after="0"/>
      <w:jc w:val="center"/>
    </w:pPr>
    <w:rPr/>
  </w:style>
  <w:style w:type="paragraph" w:styleId="NoSpacing">
    <w:name w:val="No Spacing"/>
    <w:uiPriority w:val="1"/>
    <w:qFormat/>
    <w:rsid w:val="00894a64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cs-CZ" w:eastAsia="cs-CZ" w:bidi="ar-SA"/>
    </w:rPr>
  </w:style>
  <w:style w:type="paragraph" w:styleId="PodpisovePole" w:customStyle="1">
    <w:name w:val="PodpisovePole"/>
    <w:basedOn w:val="Normal"/>
    <w:qFormat/>
    <w:rsid w:val="002d3043"/>
    <w:pPr>
      <w:widowControl w:val="false"/>
      <w:suppressLineNumbers/>
      <w:suppressAutoHyphens w:val="true"/>
      <w:jc w:val="center"/>
      <w:textAlignment w:val="baseline"/>
    </w:pPr>
    <w:rPr>
      <w:rFonts w:ascii="Arial" w:hAnsi="Arial" w:eastAsia="Arial" w:cs="Arial"/>
      <w:kern w:val="2"/>
      <w:sz w:val="22"/>
      <w:szCs w:val="22"/>
      <w:u w:val="none" w:color="00000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A110-7127-4949-9167-480558434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Application>LibreOffice/7.5.2.2$Windows_X86_64 LibreOffice_project/53bb9681a964705cf672590721dbc85eb4d0c3a2</Application>
  <AppVersion>15.0000</AppVersion>
  <Pages>4</Pages>
  <Words>738</Words>
  <Characters>4056</Characters>
  <CharactersWithSpaces>4746</CharactersWithSpaces>
  <Paragraphs>44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2025-03-18T07:42:00Z</dcterms:created>
  <dc:creator>DA210036</dc:creator>
  <dc:description/>
  <dc:language>cs-CZ</dc:language>
  <cp:lastModifiedBy/>
  <cp:lastPrinted>2018-02-01T10:14:00Z</cp:lastPrinted>
  <dcterms:modified xsi:type="dcterms:W3CDTF">2026-05-03T10:37:49Z</dcterms:modified>
  <cp:revision>25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