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0021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Obec</w:t>
      </w:r>
      <w:r w:rsidRPr="000A1A84">
        <w:rPr>
          <w:rFonts w:ascii="Arial" w:eastAsia="Calibri" w:hAnsi="Arial" w:cs="Arial"/>
          <w:b/>
          <w:color w:val="00B0F0"/>
          <w:kern w:val="0"/>
          <w:sz w:val="24"/>
          <w:szCs w:val="24"/>
          <w14:ligatures w14:val="none"/>
        </w:rPr>
        <w:t xml:space="preserve"> </w:t>
      </w:r>
      <w:r w:rsidRPr="000A1A8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Vlastiboř</w:t>
      </w:r>
    </w:p>
    <w:p w14:paraId="5AAAD544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Zastupitelstvo obce Vlastiboř</w:t>
      </w:r>
    </w:p>
    <w:p w14:paraId="66C48577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Obecně závazná vyhláška obce Vlastiboř č.1/2020,</w:t>
      </w:r>
    </w:p>
    <w:p w14:paraId="1C41186C" w14:textId="77777777" w:rsidR="000A1A84" w:rsidRPr="000A1A84" w:rsidRDefault="000A1A84" w:rsidP="000A1A84">
      <w:pPr>
        <w:spacing w:after="12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kterou se stanoví část společného školského obvodu mateřské školy</w:t>
      </w:r>
    </w:p>
    <w:p w14:paraId="0852BA2F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68BD5378" w14:textId="1827F51C" w:rsidR="000A1A84" w:rsidRPr="000A1A84" w:rsidRDefault="000A1A84" w:rsidP="000A1A84">
      <w:pPr>
        <w:keepNext/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 xml:space="preserve">Zastupitelstvo obce Vlastiboř se na svém zasedání dne 28.04.2020 usnesením </w:t>
      </w:r>
      <w:r>
        <w:rPr>
          <w:rFonts w:ascii="Arial" w:eastAsia="Calibri" w:hAnsi="Arial" w:cs="Arial"/>
          <w:kern w:val="0"/>
          <w14:ligatures w14:val="none"/>
        </w:rPr>
        <w:t xml:space="preserve">ZO </w:t>
      </w:r>
      <w:r w:rsidRPr="000A1A84">
        <w:rPr>
          <w:rFonts w:ascii="Arial" w:eastAsia="Calibri" w:hAnsi="Arial" w:cs="Arial"/>
          <w:kern w:val="0"/>
          <w14:ligatures w14:val="none"/>
        </w:rPr>
        <w:t>č. 2/2/2020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42381DDA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7DDE0650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Cs w:val="24"/>
          <w14:ligatures w14:val="none"/>
        </w:rPr>
        <w:t>Čl. 1</w:t>
      </w:r>
    </w:p>
    <w:p w14:paraId="49A52E43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0A1A84">
        <w:rPr>
          <w:rFonts w:ascii="Arial" w:eastAsia="Calibri" w:hAnsi="Arial" w:cs="Arial"/>
          <w:b/>
          <w:kern w:val="0"/>
          <w:szCs w:val="24"/>
          <w14:ligatures w14:val="none"/>
        </w:rPr>
        <w:t xml:space="preserve">Stanovení školských obvodů </w:t>
      </w:r>
    </w:p>
    <w:p w14:paraId="60EC9C46" w14:textId="77777777" w:rsidR="000A1A84" w:rsidRPr="000A1A84" w:rsidRDefault="000A1A84" w:rsidP="000A1A84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Na základě uzavřené dohody mez městem Soběslav a obcí Vlastiboř o vytvoření společného školského obvodu mateřské školy je území obce Vlastiboř</w:t>
      </w:r>
      <w:r w:rsidRPr="000A1A84">
        <w:rPr>
          <w:rFonts w:ascii="Arial" w:eastAsia="Calibri" w:hAnsi="Arial" w:cs="Arial"/>
          <w:i/>
          <w:color w:val="00B0F0"/>
          <w:kern w:val="0"/>
          <w14:ligatures w14:val="none"/>
        </w:rPr>
        <w:t xml:space="preserve"> </w:t>
      </w:r>
      <w:r w:rsidRPr="000A1A84">
        <w:rPr>
          <w:rFonts w:ascii="Arial" w:eastAsia="Calibri" w:hAnsi="Arial" w:cs="Arial"/>
          <w:kern w:val="0"/>
          <w14:ligatures w14:val="none"/>
        </w:rPr>
        <w:t>částí školského obvodu Mateřské školy DUHA, Soběslav, sídliště Míru 750, 392 01 Soběslav a Mateřské školy Soběslav, Nerudova 711,392 01 Soběslav zřízené městem Soběslav.</w:t>
      </w:r>
    </w:p>
    <w:p w14:paraId="703424C2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B7325EF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A1A84">
        <w:rPr>
          <w:rFonts w:ascii="Arial" w:eastAsia="Calibri" w:hAnsi="Arial" w:cs="Arial"/>
          <w:b/>
          <w:kern w:val="0"/>
          <w14:ligatures w14:val="none"/>
        </w:rPr>
        <w:t>Čl. 2</w:t>
      </w:r>
    </w:p>
    <w:p w14:paraId="2B82F441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0A1A84">
        <w:rPr>
          <w:rFonts w:ascii="Arial" w:eastAsia="Calibri" w:hAnsi="Arial" w:cs="Arial"/>
          <w:b/>
          <w:kern w:val="0"/>
          <w14:ligatures w14:val="none"/>
        </w:rPr>
        <w:t>Účinnost</w:t>
      </w:r>
    </w:p>
    <w:p w14:paraId="59E11E74" w14:textId="77777777" w:rsidR="000A1A84" w:rsidRPr="000A1A84" w:rsidRDefault="000A1A84" w:rsidP="000A1A84">
      <w:pPr>
        <w:spacing w:after="120" w:line="276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2C5A34DD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BAACB45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244C666" w14:textId="77777777" w:rsid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5F2A58F" w14:textId="77777777" w:rsid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5DCA1CF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37BF09A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4CA0A9A" w14:textId="77777777" w:rsidR="000A1A84" w:rsidRPr="000A1A84" w:rsidRDefault="000A1A84" w:rsidP="000A1A84">
      <w:pPr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  <w:sectPr w:rsidR="000A1A84" w:rsidRPr="000A1A84" w:rsidSect="000A1A84">
          <w:footerReference w:type="default" r:id="rId4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05B1CD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1382E8FB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Bc. Marek Kovařík</w:t>
      </w:r>
    </w:p>
    <w:p w14:paraId="2030A10E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místostarosta</w:t>
      </w:r>
      <w:r w:rsidRPr="000A1A84">
        <w:rPr>
          <w:rFonts w:ascii="Arial" w:eastAsia="Calibri" w:hAnsi="Arial" w:cs="Arial"/>
          <w:kern w:val="0"/>
          <w14:ligatures w14:val="none"/>
        </w:rPr>
        <w:br w:type="column"/>
      </w:r>
      <w:r w:rsidRPr="000A1A84">
        <w:rPr>
          <w:rFonts w:ascii="Arial" w:eastAsia="Calibri" w:hAnsi="Arial" w:cs="Arial"/>
          <w:kern w:val="0"/>
          <w14:ligatures w14:val="none"/>
        </w:rPr>
        <w:t>………………………………</w:t>
      </w:r>
    </w:p>
    <w:p w14:paraId="049F4E96" w14:textId="77777777" w:rsidR="000A1A84" w:rsidRPr="000A1A84" w:rsidRDefault="000A1A84" w:rsidP="000A1A84">
      <w:pPr>
        <w:keepNext/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0A1A84">
        <w:rPr>
          <w:rFonts w:ascii="Arial" w:eastAsia="Calibri" w:hAnsi="Arial" w:cs="Arial"/>
          <w:kern w:val="0"/>
          <w14:ligatures w14:val="none"/>
        </w:rPr>
        <w:t>Ing. Vlastimil Smítka</w:t>
      </w:r>
    </w:p>
    <w:p w14:paraId="6E968251" w14:textId="77777777" w:rsidR="000A1A84" w:rsidRPr="000A1A84" w:rsidRDefault="000A1A84" w:rsidP="000A1A84">
      <w:pPr>
        <w:spacing w:after="120" w:line="276" w:lineRule="auto"/>
        <w:jc w:val="center"/>
        <w:rPr>
          <w:rFonts w:ascii="Arial" w:eastAsia="Calibri" w:hAnsi="Arial" w:cs="Arial"/>
          <w:kern w:val="0"/>
          <w14:ligatures w14:val="none"/>
        </w:rPr>
        <w:sectPr w:rsidR="000A1A84" w:rsidRPr="000A1A84" w:rsidSect="000A1A8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A1A84">
        <w:rPr>
          <w:rFonts w:ascii="Arial" w:eastAsia="Calibri" w:hAnsi="Arial" w:cs="Arial"/>
          <w:kern w:val="0"/>
          <w14:ligatures w14:val="none"/>
        </w:rPr>
        <w:t>starosta</w:t>
      </w:r>
    </w:p>
    <w:p w14:paraId="1F12559D" w14:textId="77777777" w:rsidR="000A1A84" w:rsidRPr="000A1A84" w:rsidRDefault="000A1A84" w:rsidP="000A1A84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1E876DD" w14:textId="77777777" w:rsidR="00C65143" w:rsidRDefault="00C65143"/>
    <w:sectPr w:rsidR="00C6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AAFC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84"/>
    <w:rsid w:val="000A1A84"/>
    <w:rsid w:val="00152A15"/>
    <w:rsid w:val="00C55D7A"/>
    <w:rsid w:val="00C6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D1D4"/>
  <w15:chartTrackingRefBased/>
  <w15:docId w15:val="{115CC57A-551B-4DB2-BB1B-3BA0881F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1A84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A1A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Smítka</dc:creator>
  <cp:keywords/>
  <dc:description/>
  <cp:lastModifiedBy>Vlastimil Smítka</cp:lastModifiedBy>
  <cp:revision>1</cp:revision>
  <dcterms:created xsi:type="dcterms:W3CDTF">2024-12-30T11:06:00Z</dcterms:created>
  <dcterms:modified xsi:type="dcterms:W3CDTF">2024-12-30T11:09:00Z</dcterms:modified>
</cp:coreProperties>
</file>