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43424" w14:textId="77777777" w:rsidR="00E32FAB" w:rsidRDefault="00E32FAB" w:rsidP="00F67253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6BB11F78" w14:textId="77777777" w:rsidR="00F67253" w:rsidRPr="007E4240" w:rsidRDefault="00F67253" w:rsidP="00F67253">
      <w:pPr>
        <w:pStyle w:val="Zkladntext"/>
        <w:spacing w:after="0"/>
        <w:jc w:val="both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 xml:space="preserve">Zastupitelstvo obce Ochoze u Brna se na svém zasedání dne </w:t>
      </w:r>
      <w:r w:rsidR="00792E8E" w:rsidRPr="00792E8E">
        <w:rPr>
          <w:rFonts w:asciiTheme="minorHAnsi" w:hAnsiTheme="minorHAnsi"/>
          <w:sz w:val="22"/>
          <w:szCs w:val="22"/>
        </w:rPr>
        <w:t>10</w:t>
      </w:r>
      <w:r w:rsidR="00C75133" w:rsidRPr="00792E8E">
        <w:rPr>
          <w:rFonts w:asciiTheme="minorHAnsi" w:hAnsiTheme="minorHAnsi"/>
          <w:sz w:val="22"/>
          <w:szCs w:val="22"/>
        </w:rPr>
        <w:t>. 4. 201</w:t>
      </w:r>
      <w:r w:rsidR="0041261E" w:rsidRPr="00792E8E">
        <w:rPr>
          <w:rFonts w:asciiTheme="minorHAnsi" w:hAnsiTheme="minorHAnsi"/>
          <w:sz w:val="22"/>
          <w:szCs w:val="22"/>
        </w:rPr>
        <w:t>7</w:t>
      </w:r>
      <w:r w:rsidRPr="007E4240">
        <w:rPr>
          <w:rFonts w:asciiTheme="minorHAnsi" w:hAnsiTheme="minorHAnsi"/>
          <w:sz w:val="22"/>
          <w:szCs w:val="22"/>
        </w:rPr>
        <w:t>, usnesením č.</w:t>
      </w:r>
      <w:r w:rsidR="004A5DD6">
        <w:rPr>
          <w:rFonts w:asciiTheme="minorHAnsi" w:hAnsiTheme="minorHAnsi"/>
          <w:sz w:val="22"/>
          <w:szCs w:val="22"/>
        </w:rPr>
        <w:t xml:space="preserve"> </w:t>
      </w:r>
      <w:r w:rsidR="004A5DD6" w:rsidRPr="00D91FF9">
        <w:rPr>
          <w:rFonts w:asciiTheme="minorHAnsi" w:hAnsiTheme="minorHAnsi"/>
          <w:sz w:val="22"/>
          <w:szCs w:val="22"/>
        </w:rPr>
        <w:t>4.</w:t>
      </w:r>
      <w:r w:rsidR="00D91FF9" w:rsidRPr="00D91FF9">
        <w:rPr>
          <w:rFonts w:asciiTheme="minorHAnsi" w:hAnsiTheme="minorHAnsi"/>
          <w:sz w:val="22"/>
          <w:szCs w:val="22"/>
        </w:rPr>
        <w:t>15</w:t>
      </w:r>
      <w:r w:rsidR="004A5DD6" w:rsidRPr="00D91FF9">
        <w:rPr>
          <w:rFonts w:asciiTheme="minorHAnsi" w:hAnsiTheme="minorHAnsi"/>
          <w:sz w:val="22"/>
          <w:szCs w:val="22"/>
        </w:rPr>
        <w:t>.201</w:t>
      </w:r>
      <w:r w:rsidR="0041261E" w:rsidRPr="00D91FF9">
        <w:rPr>
          <w:rFonts w:asciiTheme="minorHAnsi" w:hAnsiTheme="minorHAnsi"/>
          <w:sz w:val="22"/>
          <w:szCs w:val="22"/>
        </w:rPr>
        <w:t>7</w:t>
      </w:r>
      <w:r w:rsidRPr="007E4240">
        <w:rPr>
          <w:rFonts w:asciiTheme="minorHAnsi" w:hAnsiTheme="minorHAnsi"/>
          <w:sz w:val="22"/>
          <w:szCs w:val="22"/>
        </w:rPr>
        <w:t xml:space="preserve">, usneslo vydat </w:t>
      </w:r>
      <w:r w:rsidR="00B35E30" w:rsidRPr="00B35E30">
        <w:rPr>
          <w:rFonts w:asciiTheme="minorHAnsi" w:hAnsiTheme="minorHAnsi" w:cs="Arial"/>
          <w:sz w:val="22"/>
          <w:szCs w:val="22"/>
        </w:rPr>
        <w:t xml:space="preserve">na základě ustanovení § 10 písm. d) a ustanovení § 84 odst. 2 písm. h) zákona </w:t>
      </w:r>
      <w:r w:rsidR="00B35E30">
        <w:rPr>
          <w:rFonts w:asciiTheme="minorHAnsi" w:hAnsiTheme="minorHAnsi" w:cs="Arial"/>
          <w:sz w:val="22"/>
          <w:szCs w:val="22"/>
        </w:rPr>
        <w:br/>
      </w:r>
      <w:r w:rsidR="00B35E30" w:rsidRPr="00B35E30">
        <w:rPr>
          <w:rFonts w:asciiTheme="minorHAnsi" w:hAnsiTheme="minorHAnsi" w:cs="Arial"/>
          <w:sz w:val="22"/>
          <w:szCs w:val="22"/>
        </w:rPr>
        <w:t xml:space="preserve">č. 128/2000 Sb., o obcích (obecní zřízení), ve znění pozdějších předpisů, a na základě ustanovení § 47 </w:t>
      </w:r>
      <w:r w:rsidR="0041261E">
        <w:rPr>
          <w:rFonts w:asciiTheme="minorHAnsi" w:hAnsiTheme="minorHAnsi" w:cs="Arial"/>
          <w:sz w:val="22"/>
          <w:szCs w:val="22"/>
        </w:rPr>
        <w:br/>
      </w:r>
      <w:r w:rsidR="00B35E30" w:rsidRPr="00B35E30">
        <w:rPr>
          <w:rFonts w:asciiTheme="minorHAnsi" w:hAnsiTheme="minorHAnsi" w:cs="Arial"/>
          <w:sz w:val="22"/>
          <w:szCs w:val="22"/>
        </w:rPr>
        <w:t>odst. 6 zákona č. 200/1990 Sb., o přestupcích,</w:t>
      </w:r>
      <w:r w:rsidR="00B35E30">
        <w:rPr>
          <w:rFonts w:asciiTheme="minorHAnsi" w:hAnsiTheme="minorHAnsi" w:cs="Arial"/>
          <w:sz w:val="22"/>
          <w:szCs w:val="22"/>
        </w:rPr>
        <w:t xml:space="preserve"> </w:t>
      </w:r>
      <w:r w:rsidR="00B35E30" w:rsidRPr="00B35E30">
        <w:rPr>
          <w:rFonts w:asciiTheme="minorHAnsi" w:hAnsiTheme="minorHAnsi" w:cs="Arial"/>
          <w:sz w:val="22"/>
          <w:szCs w:val="22"/>
        </w:rPr>
        <w:t>ve znění pozdějších předpisů, tuto obecně závaznou vyhlášku</w:t>
      </w:r>
      <w:r w:rsidR="00B35E30">
        <w:rPr>
          <w:rFonts w:asciiTheme="minorHAnsi" w:hAnsiTheme="minorHAnsi" w:cs="Arial"/>
          <w:sz w:val="22"/>
          <w:szCs w:val="22"/>
        </w:rPr>
        <w:t>.</w:t>
      </w:r>
    </w:p>
    <w:p w14:paraId="051128FF" w14:textId="77777777" w:rsidR="00F67253" w:rsidRDefault="00F67253" w:rsidP="00F67253">
      <w:pPr>
        <w:pStyle w:val="Zkladntext"/>
        <w:spacing w:after="0"/>
        <w:jc w:val="center"/>
        <w:rPr>
          <w:b/>
          <w:szCs w:val="24"/>
        </w:rPr>
      </w:pPr>
    </w:p>
    <w:p w14:paraId="7E5E6F69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1</w:t>
      </w:r>
    </w:p>
    <w:p w14:paraId="07E518DE" w14:textId="77777777" w:rsidR="00F67253" w:rsidRPr="007E4240" w:rsidRDefault="00F67253" w:rsidP="00F67253">
      <w:pPr>
        <w:pStyle w:val="Zkladntext"/>
        <w:jc w:val="center"/>
        <w:rPr>
          <w:rFonts w:asciiTheme="minorHAnsi" w:hAnsiTheme="minorHAnsi"/>
          <w:b/>
          <w:bCs/>
        </w:rPr>
      </w:pPr>
      <w:r w:rsidRPr="007E4240">
        <w:rPr>
          <w:rFonts w:asciiTheme="minorHAnsi" w:hAnsiTheme="minorHAnsi"/>
          <w:b/>
          <w:bCs/>
        </w:rPr>
        <w:t xml:space="preserve">Předmět </w:t>
      </w:r>
    </w:p>
    <w:p w14:paraId="7AF7AABA" w14:textId="77777777" w:rsidR="00B35E30" w:rsidRPr="00B35E30" w:rsidRDefault="00B35E30" w:rsidP="00B35E30">
      <w:pPr>
        <w:spacing w:after="120"/>
        <w:jc w:val="both"/>
        <w:rPr>
          <w:rFonts w:cs="Arial"/>
        </w:rPr>
      </w:pPr>
      <w:r w:rsidRPr="00B35E30">
        <w:rPr>
          <w:rFonts w:cs="Arial"/>
        </w:rPr>
        <w:t>Předmětem této obecně závazné vyhlášky je stanovení výjimečných případů, při nichž je doba nočního klidu vymezena dobou kratší nebo žádnou než stanoví zákon</w:t>
      </w:r>
      <w:r w:rsidR="0041261E">
        <w:rPr>
          <w:rFonts w:cs="Arial"/>
        </w:rPr>
        <w:t xml:space="preserve"> a regulace činností v nevhodnou denní dobu, které by mohly svou hlučností narušit veřejný pořádek nebo být v rozporu s dobrými mravy v obci.</w:t>
      </w:r>
    </w:p>
    <w:p w14:paraId="0A5D969D" w14:textId="77777777" w:rsidR="00F67253" w:rsidRDefault="00F67253" w:rsidP="00F67253">
      <w:pPr>
        <w:pStyle w:val="Zkladntext"/>
        <w:spacing w:after="0"/>
        <w:jc w:val="both"/>
        <w:rPr>
          <w:szCs w:val="24"/>
        </w:rPr>
      </w:pPr>
    </w:p>
    <w:p w14:paraId="4367AE05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2</w:t>
      </w:r>
    </w:p>
    <w:p w14:paraId="7B8BDD5D" w14:textId="77777777" w:rsidR="00B35E30" w:rsidRPr="00B35E30" w:rsidRDefault="00B35E30" w:rsidP="00B35E30">
      <w:pPr>
        <w:jc w:val="center"/>
        <w:rPr>
          <w:rFonts w:cs="Arial"/>
          <w:b/>
        </w:rPr>
      </w:pPr>
      <w:r w:rsidRPr="00B35E30">
        <w:rPr>
          <w:rFonts w:cs="Arial"/>
          <w:b/>
        </w:rPr>
        <w:t>Doba nočního klidu</w:t>
      </w:r>
    </w:p>
    <w:p w14:paraId="3FB83A09" w14:textId="77777777" w:rsidR="00B35E30" w:rsidRDefault="00B35E30" w:rsidP="00B35E30">
      <w:pPr>
        <w:spacing w:after="120"/>
        <w:jc w:val="both"/>
        <w:rPr>
          <w:rFonts w:cs="Arial"/>
        </w:rPr>
      </w:pPr>
      <w:r w:rsidRPr="00B35E30">
        <w:rPr>
          <w:rFonts w:cs="Arial"/>
        </w:rPr>
        <w:t>Dobou nočního klidu se rozumí doba od 22. do 6. hodiny.</w:t>
      </w:r>
      <w:r w:rsidRPr="00B35E30">
        <w:rPr>
          <w:rStyle w:val="Znakapoznpodarou"/>
          <w:rFonts w:cs="Arial"/>
        </w:rPr>
        <w:footnoteReference w:id="1"/>
      </w:r>
      <w:r w:rsidR="0041261E">
        <w:rPr>
          <w:rFonts w:cs="Arial"/>
        </w:rPr>
        <w:t xml:space="preserve"> V této době je každý povinen zachovat klid </w:t>
      </w:r>
      <w:r w:rsidR="00B1206E">
        <w:rPr>
          <w:rFonts w:cs="Arial"/>
        </w:rPr>
        <w:br/>
      </w:r>
      <w:r w:rsidR="0041261E">
        <w:rPr>
          <w:rFonts w:cs="Arial"/>
        </w:rPr>
        <w:t>a omezit hlučné projevy.</w:t>
      </w:r>
    </w:p>
    <w:p w14:paraId="199751D9" w14:textId="77777777" w:rsidR="00B35E30" w:rsidRPr="00B35E30" w:rsidRDefault="00B35E30" w:rsidP="00B35E30">
      <w:pPr>
        <w:spacing w:after="120"/>
        <w:jc w:val="both"/>
        <w:rPr>
          <w:rFonts w:cs="Arial"/>
        </w:rPr>
      </w:pPr>
    </w:p>
    <w:p w14:paraId="5D2BBEDB" w14:textId="77777777" w:rsidR="00F67253" w:rsidRDefault="00F67253" w:rsidP="00F67253">
      <w:pPr>
        <w:pStyle w:val="Zkladntext"/>
        <w:spacing w:after="0"/>
        <w:jc w:val="both"/>
        <w:rPr>
          <w:szCs w:val="24"/>
        </w:rPr>
      </w:pPr>
    </w:p>
    <w:p w14:paraId="7245CD45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Čl. 3</w:t>
      </w:r>
    </w:p>
    <w:p w14:paraId="7AE0B79D" w14:textId="77777777" w:rsidR="00B35E30" w:rsidRPr="00B35E30" w:rsidRDefault="00B35E30" w:rsidP="00B35E30">
      <w:pPr>
        <w:pStyle w:val="Bezmezer"/>
        <w:tabs>
          <w:tab w:val="left" w:pos="284"/>
        </w:tabs>
        <w:spacing w:after="120"/>
        <w:jc w:val="center"/>
        <w:rPr>
          <w:rFonts w:asciiTheme="minorHAnsi" w:hAnsiTheme="minorHAnsi"/>
        </w:rPr>
      </w:pPr>
      <w:r w:rsidRPr="00B35E30">
        <w:rPr>
          <w:rFonts w:asciiTheme="minorHAnsi" w:hAnsiTheme="minorHAnsi" w:cs="Arial"/>
          <w:b/>
        </w:rPr>
        <w:t xml:space="preserve">Stanovení výjimečných případů, </w:t>
      </w:r>
      <w:r>
        <w:rPr>
          <w:rFonts w:asciiTheme="minorHAnsi" w:hAnsiTheme="minorHAnsi" w:cs="Arial"/>
          <w:b/>
        </w:rPr>
        <w:br/>
      </w:r>
      <w:r w:rsidRPr="00B35E30">
        <w:rPr>
          <w:rFonts w:asciiTheme="minorHAnsi" w:hAnsiTheme="minorHAnsi" w:cs="Arial"/>
          <w:b/>
        </w:rPr>
        <w:t>při nichž je doba nočního klidu vymezena dobou kratší nebo žádnou</w:t>
      </w:r>
    </w:p>
    <w:p w14:paraId="19F10370" w14:textId="77777777" w:rsidR="00B35E30" w:rsidRPr="00B1206E" w:rsidRDefault="00B35E30" w:rsidP="00B1206E">
      <w:pPr>
        <w:pStyle w:val="Odstavecseseznamem"/>
        <w:numPr>
          <w:ilvl w:val="0"/>
          <w:numId w:val="22"/>
        </w:numPr>
        <w:tabs>
          <w:tab w:val="left" w:pos="284"/>
        </w:tabs>
        <w:spacing w:after="120"/>
        <w:ind w:left="284" w:hanging="284"/>
        <w:rPr>
          <w:rFonts w:cs="Arial"/>
        </w:rPr>
      </w:pPr>
      <w:r w:rsidRPr="00B1206E">
        <w:rPr>
          <w:rFonts w:cs="Arial"/>
        </w:rPr>
        <w:t xml:space="preserve">Doba nočního klidu se </w:t>
      </w:r>
      <w:r w:rsidR="00B1206E" w:rsidRPr="00B1206E">
        <w:rPr>
          <w:rFonts w:cs="Arial"/>
        </w:rPr>
        <w:t>nevymezuje</w:t>
      </w:r>
      <w:r w:rsidRPr="00B1206E">
        <w:rPr>
          <w:rFonts w:cs="Arial"/>
        </w:rPr>
        <w:t>:</w:t>
      </w:r>
    </w:p>
    <w:p w14:paraId="4E1DADD6" w14:textId="77777777" w:rsidR="00B35E30" w:rsidRPr="00B1206E" w:rsidRDefault="00B35E30" w:rsidP="00B1206E">
      <w:pPr>
        <w:pStyle w:val="Odstavecseseznamem"/>
        <w:numPr>
          <w:ilvl w:val="1"/>
          <w:numId w:val="22"/>
        </w:numPr>
        <w:tabs>
          <w:tab w:val="left" w:pos="284"/>
        </w:tabs>
        <w:spacing w:after="120"/>
        <w:rPr>
          <w:rFonts w:cs="Arial"/>
        </w:rPr>
      </w:pPr>
      <w:r w:rsidRPr="00B1206E">
        <w:rPr>
          <w:rFonts w:cs="Arial"/>
        </w:rPr>
        <w:t>v noci z 31. prosince na 1. ledna;</w:t>
      </w:r>
    </w:p>
    <w:p w14:paraId="63A2D5E3" w14:textId="77777777" w:rsidR="00B35E30" w:rsidRPr="00B1206E" w:rsidRDefault="00B35E30" w:rsidP="00B1206E">
      <w:pPr>
        <w:pStyle w:val="Odstavecseseznamem"/>
        <w:numPr>
          <w:ilvl w:val="1"/>
          <w:numId w:val="22"/>
        </w:numPr>
        <w:tabs>
          <w:tab w:val="left" w:pos="284"/>
        </w:tabs>
        <w:spacing w:after="120"/>
        <w:jc w:val="both"/>
        <w:rPr>
          <w:rFonts w:cs="Arial"/>
        </w:rPr>
      </w:pPr>
      <w:r w:rsidRPr="00B1206E">
        <w:rPr>
          <w:rFonts w:cs="Arial"/>
        </w:rPr>
        <w:t>v době konání těchto tradičních slavností</w:t>
      </w:r>
      <w:r w:rsidR="00B1206E" w:rsidRPr="00B1206E">
        <w:rPr>
          <w:rFonts w:cs="Arial"/>
        </w:rPr>
        <w:t>, jej</w:t>
      </w:r>
      <w:r w:rsidR="00D91FF9">
        <w:rPr>
          <w:rFonts w:cs="Arial"/>
        </w:rPr>
        <w:t>ich</w:t>
      </w:r>
      <w:r w:rsidR="00B1206E" w:rsidRPr="00B1206E">
        <w:rPr>
          <w:rFonts w:cs="Arial"/>
        </w:rPr>
        <w:t>ž datum je vzhledem k místním tradicím předvídatel</w:t>
      </w:r>
      <w:r w:rsidR="00D91FF9">
        <w:rPr>
          <w:rFonts w:cs="Arial"/>
        </w:rPr>
        <w:t>né</w:t>
      </w:r>
      <w:r w:rsidR="00B1206E" w:rsidRPr="00B1206E">
        <w:rPr>
          <w:rFonts w:cs="Arial"/>
        </w:rPr>
        <w:t xml:space="preserve">: </w:t>
      </w:r>
      <w:r w:rsidR="00D91FF9">
        <w:rPr>
          <w:rFonts w:cs="Arial"/>
        </w:rPr>
        <w:t>Ostatky</w:t>
      </w:r>
      <w:r w:rsidR="00B1206E" w:rsidRPr="00B1206E">
        <w:rPr>
          <w:rFonts w:cs="Arial"/>
        </w:rPr>
        <w:t xml:space="preserve">, Pálení čarodějnic, </w:t>
      </w:r>
      <w:r w:rsidR="00D91FF9">
        <w:rPr>
          <w:rFonts w:cs="Arial"/>
        </w:rPr>
        <w:t xml:space="preserve">Babské hody, Chlapské hody, </w:t>
      </w:r>
      <w:r w:rsidR="00B1206E" w:rsidRPr="00B1206E">
        <w:rPr>
          <w:rFonts w:cs="Arial"/>
        </w:rPr>
        <w:t xml:space="preserve">Letní noc, Country noc (v době letních prázdnin),  </w:t>
      </w:r>
      <w:proofErr w:type="spellStart"/>
      <w:r w:rsidR="00B1206E" w:rsidRPr="00B1206E">
        <w:rPr>
          <w:rFonts w:cs="Arial"/>
        </w:rPr>
        <w:t>Slámafest</w:t>
      </w:r>
      <w:proofErr w:type="spellEnd"/>
      <w:r w:rsidR="00B1206E" w:rsidRPr="00B1206E">
        <w:rPr>
          <w:rFonts w:cs="Arial"/>
        </w:rPr>
        <w:t xml:space="preserve"> (v době letních prázdnin)</w:t>
      </w:r>
      <w:r w:rsidR="00B1206E">
        <w:rPr>
          <w:rFonts w:cs="Arial"/>
        </w:rPr>
        <w:t>,</w:t>
      </w:r>
      <w:r w:rsidRPr="00B1206E">
        <w:rPr>
          <w:rFonts w:cs="Arial"/>
        </w:rPr>
        <w:t xml:space="preserve"> </w:t>
      </w:r>
      <w:r w:rsidR="00B1206E" w:rsidRPr="00B1206E">
        <w:rPr>
          <w:rFonts w:cs="Arial"/>
        </w:rPr>
        <w:t xml:space="preserve">Václavské hody, Obecní slavnosti </w:t>
      </w:r>
      <w:r w:rsidR="00D91FF9">
        <w:rPr>
          <w:rFonts w:cs="Arial"/>
        </w:rPr>
        <w:br/>
      </w:r>
      <w:r w:rsidR="00B1206E" w:rsidRPr="00B1206E">
        <w:rPr>
          <w:rFonts w:cs="Arial"/>
        </w:rPr>
        <w:t>a sportovní akce</w:t>
      </w:r>
      <w:r w:rsidR="00B1206E" w:rsidRPr="00B1206E">
        <w:rPr>
          <w:rFonts w:cs="Arial"/>
          <w:i/>
        </w:rPr>
        <w:t>;</w:t>
      </w:r>
    </w:p>
    <w:p w14:paraId="78F45BEC" w14:textId="77777777" w:rsidR="00B35E30" w:rsidRDefault="00B1206E" w:rsidP="00B1206E">
      <w:pPr>
        <w:pStyle w:val="Odstavecseseznamem"/>
        <w:numPr>
          <w:ilvl w:val="1"/>
          <w:numId w:val="22"/>
        </w:numPr>
        <w:tabs>
          <w:tab w:val="left" w:pos="284"/>
        </w:tabs>
        <w:spacing w:after="120"/>
        <w:rPr>
          <w:rFonts w:cs="Arial"/>
        </w:rPr>
      </w:pPr>
      <w:r>
        <w:rPr>
          <w:rFonts w:cs="Arial"/>
        </w:rPr>
        <w:t xml:space="preserve">o </w:t>
      </w:r>
      <w:r w:rsidR="00B35E30" w:rsidRPr="00B1206E">
        <w:rPr>
          <w:rFonts w:cs="Arial"/>
        </w:rPr>
        <w:t>Velikonočním pondělí.</w:t>
      </w:r>
    </w:p>
    <w:p w14:paraId="5177739B" w14:textId="77777777" w:rsidR="00D91FF9" w:rsidRPr="00D91FF9" w:rsidRDefault="00D91FF9" w:rsidP="00D91FF9">
      <w:pPr>
        <w:tabs>
          <w:tab w:val="left" w:pos="284"/>
        </w:tabs>
        <w:spacing w:after="0" w:line="240" w:lineRule="auto"/>
        <w:ind w:left="357"/>
        <w:rPr>
          <w:rFonts w:cs="Arial"/>
        </w:rPr>
      </w:pPr>
    </w:p>
    <w:p w14:paraId="6E9AD959" w14:textId="77777777" w:rsidR="007E61C2" w:rsidRPr="00B1206E" w:rsidRDefault="007E61C2" w:rsidP="00B1206E">
      <w:pPr>
        <w:pStyle w:val="Odstavecseseznamem"/>
        <w:numPr>
          <w:ilvl w:val="0"/>
          <w:numId w:val="22"/>
        </w:numPr>
        <w:tabs>
          <w:tab w:val="left" w:pos="284"/>
        </w:tabs>
        <w:spacing w:after="12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1206E">
        <w:rPr>
          <w:rFonts w:cs="Arial"/>
        </w:rPr>
        <w:t>Informace o konkrétním termínu konání akcí uvedených v odst. 1 této obecně závazné vyhlášky bude zveřejněna obecním úřadem na úřední desce minimálně 5 dnů před datem konání.</w:t>
      </w:r>
      <w:r w:rsidRPr="00B1206E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45911595" w14:textId="77777777" w:rsidR="00B1206E" w:rsidRDefault="00B1206E">
      <w:pPr>
        <w:rPr>
          <w:rFonts w:eastAsia="Times New Roman" w:cs="Times New Roman"/>
          <w:b/>
          <w:sz w:val="24"/>
          <w:szCs w:val="24"/>
        </w:rPr>
      </w:pPr>
      <w:r>
        <w:rPr>
          <w:b/>
          <w:szCs w:val="24"/>
        </w:rPr>
        <w:br w:type="page"/>
      </w:r>
    </w:p>
    <w:p w14:paraId="69F5BE7B" w14:textId="77777777" w:rsidR="00F67253" w:rsidRPr="007E4240" w:rsidRDefault="00F67253" w:rsidP="00F67253">
      <w:pPr>
        <w:pStyle w:val="Zkladntext"/>
        <w:spacing w:after="0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lastRenderedPageBreak/>
        <w:t>Čl. 4</w:t>
      </w:r>
    </w:p>
    <w:p w14:paraId="13996E38" w14:textId="77777777" w:rsidR="00F67253" w:rsidRPr="007E4240" w:rsidRDefault="00F67253" w:rsidP="00F67253">
      <w:pPr>
        <w:pStyle w:val="Zkladntext"/>
        <w:jc w:val="center"/>
        <w:rPr>
          <w:rFonts w:asciiTheme="minorHAnsi" w:hAnsiTheme="minorHAnsi"/>
          <w:b/>
          <w:szCs w:val="24"/>
        </w:rPr>
      </w:pPr>
      <w:r w:rsidRPr="007E4240">
        <w:rPr>
          <w:rFonts w:asciiTheme="minorHAnsi" w:hAnsiTheme="minorHAnsi"/>
          <w:b/>
          <w:szCs w:val="24"/>
        </w:rPr>
        <w:t>Úči</w:t>
      </w:r>
      <w:r w:rsidR="007E4240">
        <w:rPr>
          <w:rFonts w:asciiTheme="minorHAnsi" w:hAnsiTheme="minorHAnsi"/>
          <w:b/>
          <w:szCs w:val="24"/>
        </w:rPr>
        <w:t>n</w:t>
      </w:r>
      <w:r w:rsidRPr="007E4240">
        <w:rPr>
          <w:rFonts w:asciiTheme="minorHAnsi" w:hAnsiTheme="minorHAnsi"/>
          <w:b/>
          <w:szCs w:val="24"/>
        </w:rPr>
        <w:t>nost</w:t>
      </w:r>
    </w:p>
    <w:p w14:paraId="002625A7" w14:textId="77777777" w:rsidR="00F67253" w:rsidRPr="007E4240" w:rsidRDefault="00F67253" w:rsidP="00F67253">
      <w:pPr>
        <w:pStyle w:val="Seznamoslovan"/>
        <w:ind w:left="0" w:firstLine="0"/>
        <w:rPr>
          <w:rFonts w:asciiTheme="minorHAnsi" w:hAnsiTheme="minorHAnsi"/>
          <w:sz w:val="22"/>
          <w:szCs w:val="22"/>
        </w:rPr>
      </w:pPr>
      <w:r w:rsidRPr="007E4240">
        <w:rPr>
          <w:rFonts w:asciiTheme="minorHAnsi" w:hAnsiTheme="minorHAnsi"/>
          <w:sz w:val="22"/>
          <w:szCs w:val="22"/>
        </w:rPr>
        <w:t>Tato vyhláška nabývá účinnosti 15. dnem po dni jejího vyhlášení.</w:t>
      </w:r>
    </w:p>
    <w:p w14:paraId="527F19D6" w14:textId="77777777" w:rsidR="00F11145" w:rsidRDefault="00F11145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710EF9FC" w14:textId="77777777" w:rsidR="00C75133" w:rsidRDefault="00C75133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66993F91" w14:textId="77777777" w:rsidR="007E61C2" w:rsidRDefault="007E61C2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202883CE" w14:textId="77777777" w:rsidR="007E61C2" w:rsidRDefault="007E61C2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4D553F6A" w14:textId="77777777" w:rsidR="007E61C2" w:rsidRPr="00F11145" w:rsidRDefault="007E61C2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5A6EAD95" w14:textId="77777777" w:rsidR="00F11145" w:rsidRPr="00F11145" w:rsidRDefault="00F11145" w:rsidP="00F11145">
      <w:pPr>
        <w:spacing w:after="0" w:line="240" w:lineRule="auto"/>
        <w:ind w:firstLine="601"/>
        <w:rPr>
          <w:rFonts w:eastAsia="Times New Roman" w:cs="Times New Roman"/>
        </w:rPr>
      </w:pPr>
    </w:p>
    <w:p w14:paraId="6306126E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 w:rsidRPr="00F11145">
        <w:rPr>
          <w:rFonts w:eastAsia="Times New Roman" w:cs="Times New Roman"/>
          <w:i/>
          <w:iCs/>
        </w:rPr>
        <w:tab/>
      </w:r>
      <w:r w:rsidRPr="00F11145">
        <w:rPr>
          <w:rFonts w:eastAsia="MyriadPro-Light" w:cs="Times New Roman"/>
        </w:rPr>
        <w:t>..........</w:t>
      </w:r>
      <w:r w:rsidR="00BF6A0E">
        <w:rPr>
          <w:rFonts w:eastAsia="MyriadPro-Light" w:cs="Times New Roman"/>
        </w:rPr>
        <w:t>...</w:t>
      </w:r>
      <w:r w:rsidRPr="00F11145">
        <w:rPr>
          <w:rFonts w:eastAsia="MyriadPro-Light" w:cs="Times New Roman"/>
        </w:rPr>
        <w:t>................................</w:t>
      </w:r>
    </w:p>
    <w:p w14:paraId="7AFDF5FA" w14:textId="05AB58CF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>
        <w:rPr>
          <w:rFonts w:eastAsia="MyriadPro-Light" w:cs="Times New Roman"/>
        </w:rPr>
        <w:t xml:space="preserve">        </w:t>
      </w:r>
      <w:r w:rsidR="00E30A0D">
        <w:rPr>
          <w:rFonts w:eastAsia="MyriadPro-Light" w:cs="Times New Roman"/>
        </w:rPr>
        <w:t xml:space="preserve">  </w:t>
      </w:r>
      <w:r>
        <w:rPr>
          <w:rFonts w:eastAsia="MyriadPro-Light" w:cs="Times New Roman"/>
        </w:rPr>
        <w:t xml:space="preserve"> </w:t>
      </w:r>
      <w:r w:rsidR="00E30A0D">
        <w:rPr>
          <w:rFonts w:eastAsia="MyriadPro-Light" w:cs="Times New Roman"/>
        </w:rPr>
        <w:t>v.r.</w:t>
      </w:r>
      <w:r>
        <w:rPr>
          <w:rFonts w:eastAsia="MyriadPro-Light" w:cs="Times New Roman"/>
        </w:rPr>
        <w:t xml:space="preserve">   </w:t>
      </w:r>
      <w:r w:rsidRPr="00F11145">
        <w:rPr>
          <w:rFonts w:eastAsia="MyriadPro-Light" w:cs="Times New Roman"/>
        </w:rPr>
        <w:t>Ing. Alena Kovaříková</w:t>
      </w:r>
    </w:p>
    <w:p w14:paraId="7BD266DC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  <w:r>
        <w:rPr>
          <w:rFonts w:eastAsia="MyriadPro-Light" w:cs="Times New Roman"/>
        </w:rPr>
        <w:t xml:space="preserve">             </w:t>
      </w:r>
      <w:r w:rsidRPr="00F11145">
        <w:rPr>
          <w:rFonts w:eastAsia="MyriadPro-Light" w:cs="Times New Roman"/>
        </w:rPr>
        <w:t xml:space="preserve">starostka </w:t>
      </w:r>
    </w:p>
    <w:p w14:paraId="51C10D9E" w14:textId="77777777" w:rsid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76343E70" w14:textId="77777777" w:rsidR="00C75133" w:rsidRDefault="00C75133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4D4C38EF" w14:textId="77777777" w:rsidR="00C75133" w:rsidRPr="00F11145" w:rsidRDefault="00C75133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0031188C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center"/>
        <w:rPr>
          <w:rFonts w:eastAsia="MyriadPro-Light" w:cs="Times New Roman"/>
        </w:rPr>
      </w:pPr>
    </w:p>
    <w:p w14:paraId="76875FAA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 w:rsidRPr="00F11145">
        <w:rPr>
          <w:rFonts w:eastAsia="MyriadPro-Light" w:cs="Times New Roman"/>
        </w:rPr>
        <w:t>………….…………</w:t>
      </w:r>
      <w:r>
        <w:rPr>
          <w:rFonts w:eastAsia="MyriadPro-Light" w:cs="Times New Roman"/>
        </w:rPr>
        <w:t>.........</w:t>
      </w:r>
      <w:r w:rsidRPr="00F11145">
        <w:rPr>
          <w:rFonts w:eastAsia="MyriadPro-Light" w:cs="Times New Roman"/>
        </w:rPr>
        <w:t>…….....</w:t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 w:rsidRPr="00F11145">
        <w:rPr>
          <w:rFonts w:eastAsia="MyriadPro-Light" w:cs="Times New Roman"/>
        </w:rPr>
        <w:tab/>
      </w:r>
      <w:r>
        <w:rPr>
          <w:rFonts w:eastAsia="MyriadPro-Light" w:cs="Times New Roman"/>
        </w:rPr>
        <w:t xml:space="preserve">                   </w:t>
      </w:r>
      <w:r w:rsidRPr="00F11145">
        <w:rPr>
          <w:rFonts w:eastAsia="MyriadPro-Light" w:cs="Times New Roman"/>
        </w:rPr>
        <w:t>………</w:t>
      </w:r>
      <w:r>
        <w:rPr>
          <w:rFonts w:eastAsia="MyriadPro-Light" w:cs="Times New Roman"/>
        </w:rPr>
        <w:t>.....</w:t>
      </w:r>
      <w:r w:rsidRPr="00F11145">
        <w:rPr>
          <w:rFonts w:eastAsia="MyriadPro-Light" w:cs="Times New Roman"/>
        </w:rPr>
        <w:t>……………..……..….</w:t>
      </w:r>
    </w:p>
    <w:p w14:paraId="426DEE6D" w14:textId="4271F7FB" w:rsidR="00F11145" w:rsidRPr="00F11145" w:rsidRDefault="00E30A0D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>
        <w:rPr>
          <w:rFonts w:eastAsia="MyriadPro-Light" w:cs="Times New Roman"/>
        </w:rPr>
        <w:t xml:space="preserve">v.r. </w:t>
      </w:r>
      <w:r w:rsidR="00F11145" w:rsidRPr="00F11145">
        <w:rPr>
          <w:rFonts w:eastAsia="MyriadPro-Light" w:cs="Times New Roman"/>
        </w:rPr>
        <w:t>Mgr. Ondřej Mlejnek Ph.D.</w:t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 w:rsidRPr="00F11145">
        <w:rPr>
          <w:rFonts w:eastAsia="MyriadPro-Light" w:cs="Times New Roman"/>
        </w:rPr>
        <w:tab/>
      </w:r>
      <w:r w:rsidR="00F11145">
        <w:rPr>
          <w:rFonts w:eastAsia="MyriadPro-Light" w:cs="Times New Roman"/>
        </w:rPr>
        <w:t xml:space="preserve">                       </w:t>
      </w:r>
      <w:r>
        <w:rPr>
          <w:rFonts w:eastAsia="MyriadPro-Light" w:cs="Times New Roman"/>
        </w:rPr>
        <w:t>v.r.</w:t>
      </w:r>
      <w:r w:rsidR="00F11145">
        <w:rPr>
          <w:rFonts w:eastAsia="MyriadPro-Light" w:cs="Times New Roman"/>
        </w:rPr>
        <w:t xml:space="preserve">   </w:t>
      </w:r>
      <w:r w:rsidR="00F11145" w:rsidRPr="00F11145">
        <w:rPr>
          <w:rFonts w:eastAsia="MyriadPro-Light" w:cs="Times New Roman"/>
        </w:rPr>
        <w:t>Bc. Dana Blatná</w:t>
      </w:r>
    </w:p>
    <w:p w14:paraId="0E60A298" w14:textId="77777777" w:rsidR="00F11145" w:rsidRPr="00F11145" w:rsidRDefault="00F11145" w:rsidP="00F11145">
      <w:pPr>
        <w:autoSpaceDE w:val="0"/>
        <w:autoSpaceDN w:val="0"/>
        <w:adjustRightInd w:val="0"/>
        <w:spacing w:after="0" w:line="240" w:lineRule="auto"/>
        <w:jc w:val="both"/>
        <w:rPr>
          <w:rFonts w:eastAsia="MyriadPro-Light" w:cs="Times New Roman"/>
        </w:rPr>
      </w:pPr>
      <w:r w:rsidRPr="00F11145">
        <w:rPr>
          <w:rFonts w:eastAsia="MyriadPro-Light" w:cs="Times New Roman"/>
        </w:rPr>
        <w:t xml:space="preserve">          místostarosta                                                                             </w:t>
      </w:r>
      <w:r>
        <w:rPr>
          <w:rFonts w:eastAsia="MyriadPro-Light" w:cs="Times New Roman"/>
        </w:rPr>
        <w:t xml:space="preserve">                             </w:t>
      </w:r>
      <w:r w:rsidRPr="00F11145">
        <w:rPr>
          <w:rFonts w:eastAsia="MyriadPro-Light" w:cs="Times New Roman"/>
        </w:rPr>
        <w:t>místostarostka</w:t>
      </w:r>
    </w:p>
    <w:p w14:paraId="2C4A5046" w14:textId="77777777" w:rsidR="00F11145" w:rsidRPr="00F11145" w:rsidRDefault="00F11145" w:rsidP="00F11145">
      <w:pPr>
        <w:tabs>
          <w:tab w:val="left" w:pos="993"/>
          <w:tab w:val="left" w:pos="6946"/>
        </w:tabs>
        <w:spacing w:after="0" w:line="240" w:lineRule="auto"/>
        <w:rPr>
          <w:rFonts w:eastAsia="Times New Roman" w:cs="Times New Roman"/>
        </w:rPr>
      </w:pPr>
    </w:p>
    <w:p w14:paraId="39F669F8" w14:textId="77777777" w:rsidR="00F11145" w:rsidRPr="00F11145" w:rsidRDefault="00F11145" w:rsidP="00F11145">
      <w:pPr>
        <w:spacing w:after="0" w:line="240" w:lineRule="auto"/>
        <w:jc w:val="center"/>
        <w:rPr>
          <w:rFonts w:eastAsia="Times New Roman" w:cs="Times New Roman"/>
        </w:rPr>
      </w:pPr>
    </w:p>
    <w:p w14:paraId="3D4C0F15" w14:textId="77777777" w:rsidR="00C75133" w:rsidRDefault="00C75133" w:rsidP="00F11145">
      <w:pPr>
        <w:spacing w:after="120" w:line="240" w:lineRule="auto"/>
        <w:jc w:val="both"/>
        <w:rPr>
          <w:rFonts w:eastAsia="Times New Roman" w:cs="Times New Roman"/>
        </w:rPr>
      </w:pPr>
    </w:p>
    <w:p w14:paraId="29EB771D" w14:textId="77777777" w:rsidR="00F11145" w:rsidRPr="00F11145" w:rsidRDefault="00F11145" w:rsidP="00F11145">
      <w:pPr>
        <w:spacing w:after="120" w:line="240" w:lineRule="auto"/>
        <w:jc w:val="both"/>
        <w:rPr>
          <w:rFonts w:eastAsia="Times New Roman" w:cs="Times New Roman"/>
        </w:rPr>
      </w:pPr>
      <w:r w:rsidRPr="00F11145">
        <w:rPr>
          <w:rFonts w:eastAsia="Times New Roman" w:cs="Times New Roman"/>
        </w:rPr>
        <w:t>Vyvěšeno na úřední desce dne:</w:t>
      </w:r>
      <w:r w:rsidR="007E4240">
        <w:rPr>
          <w:rFonts w:eastAsia="Times New Roman" w:cs="Times New Roman"/>
        </w:rPr>
        <w:t xml:space="preserve"> </w:t>
      </w:r>
      <w:r w:rsidR="00792E8E">
        <w:rPr>
          <w:rFonts w:eastAsia="Times New Roman" w:cs="Times New Roman"/>
        </w:rPr>
        <w:t>11</w:t>
      </w:r>
      <w:r w:rsidRPr="00F11145">
        <w:rPr>
          <w:rFonts w:eastAsia="Times New Roman" w:cs="Times New Roman"/>
        </w:rPr>
        <w:t xml:space="preserve">. </w:t>
      </w:r>
      <w:r w:rsidR="007E4240">
        <w:rPr>
          <w:rFonts w:eastAsia="Times New Roman" w:cs="Times New Roman"/>
        </w:rPr>
        <w:t>4</w:t>
      </w:r>
      <w:r w:rsidRPr="00F11145">
        <w:rPr>
          <w:rFonts w:eastAsia="Times New Roman" w:cs="Times New Roman"/>
        </w:rPr>
        <w:t>. 201</w:t>
      </w:r>
      <w:r w:rsidR="007E61C2">
        <w:rPr>
          <w:rFonts w:eastAsia="Times New Roman" w:cs="Times New Roman"/>
        </w:rPr>
        <w:t>7</w:t>
      </w:r>
    </w:p>
    <w:p w14:paraId="49456F3F" w14:textId="77777777" w:rsidR="00C75133" w:rsidRDefault="00C75133" w:rsidP="00F11145">
      <w:pPr>
        <w:spacing w:after="120" w:line="240" w:lineRule="auto"/>
        <w:jc w:val="both"/>
        <w:rPr>
          <w:rFonts w:eastAsia="Times New Roman" w:cs="Times New Roman"/>
        </w:rPr>
      </w:pPr>
    </w:p>
    <w:p w14:paraId="07C9AA51" w14:textId="77777777" w:rsidR="00F11145" w:rsidRPr="00F11145" w:rsidRDefault="00F11145" w:rsidP="00F11145">
      <w:pPr>
        <w:spacing w:after="120" w:line="240" w:lineRule="auto"/>
        <w:jc w:val="both"/>
        <w:rPr>
          <w:rFonts w:eastAsia="Times New Roman" w:cs="Times New Roman"/>
        </w:rPr>
      </w:pPr>
      <w:r w:rsidRPr="00F11145">
        <w:rPr>
          <w:rFonts w:eastAsia="Times New Roman" w:cs="Times New Roman"/>
        </w:rPr>
        <w:t>Sejmuto z úřední desky dne:</w:t>
      </w:r>
      <w:r>
        <w:rPr>
          <w:rFonts w:eastAsia="Times New Roman" w:cs="Times New Roman"/>
        </w:rPr>
        <w:t xml:space="preserve"> </w:t>
      </w:r>
      <w:r w:rsidR="00792E8E">
        <w:rPr>
          <w:rFonts w:eastAsia="Times New Roman" w:cs="Times New Roman"/>
        </w:rPr>
        <w:t>27. 4. 2017</w:t>
      </w:r>
    </w:p>
    <w:p w14:paraId="5E97A484" w14:textId="77777777" w:rsidR="00C75133" w:rsidRDefault="00C75133" w:rsidP="00F11145">
      <w:pPr>
        <w:spacing w:after="120" w:line="240" w:lineRule="auto"/>
        <w:jc w:val="both"/>
        <w:rPr>
          <w:rFonts w:eastAsia="Times New Roman" w:cs="Times New Roman"/>
        </w:rPr>
      </w:pPr>
    </w:p>
    <w:p w14:paraId="7A8F338B" w14:textId="77777777" w:rsidR="0027490E" w:rsidRPr="00F11145" w:rsidRDefault="00F11145" w:rsidP="00F11145">
      <w:pPr>
        <w:spacing w:after="120" w:line="240" w:lineRule="auto"/>
        <w:jc w:val="both"/>
        <w:rPr>
          <w:rFonts w:cs="Times New Roman"/>
        </w:rPr>
      </w:pPr>
      <w:r w:rsidRPr="00F11145">
        <w:rPr>
          <w:rFonts w:eastAsia="Times New Roman" w:cs="Times New Roman"/>
        </w:rPr>
        <w:t>Zveřejněno v elektronické podobě umožňující dálkový přístup:</w:t>
      </w:r>
      <w:r>
        <w:rPr>
          <w:rFonts w:eastAsia="Times New Roman" w:cs="Times New Roman"/>
        </w:rPr>
        <w:t xml:space="preserve"> </w:t>
      </w:r>
      <w:r w:rsidR="00792E8E">
        <w:rPr>
          <w:rFonts w:eastAsia="Times New Roman" w:cs="Times New Roman"/>
        </w:rPr>
        <w:t>11</w:t>
      </w:r>
      <w:r>
        <w:rPr>
          <w:rFonts w:eastAsia="Times New Roman" w:cs="Times New Roman"/>
        </w:rPr>
        <w:t xml:space="preserve">. </w:t>
      </w:r>
      <w:r w:rsidR="007E4240">
        <w:rPr>
          <w:rFonts w:eastAsia="Times New Roman" w:cs="Times New Roman"/>
        </w:rPr>
        <w:t>4</w:t>
      </w:r>
      <w:r>
        <w:rPr>
          <w:rFonts w:eastAsia="Times New Roman" w:cs="Times New Roman"/>
        </w:rPr>
        <w:t>. 201</w:t>
      </w:r>
      <w:r w:rsidR="007E61C2">
        <w:rPr>
          <w:rFonts w:eastAsia="Times New Roman" w:cs="Times New Roman"/>
        </w:rPr>
        <w:t>7</w:t>
      </w:r>
      <w:r>
        <w:rPr>
          <w:rFonts w:eastAsia="Times New Roman" w:cs="Times New Roman"/>
        </w:rPr>
        <w:t xml:space="preserve"> </w:t>
      </w:r>
    </w:p>
    <w:sectPr w:rsidR="0027490E" w:rsidRPr="00F11145" w:rsidSect="00D86164">
      <w:headerReference w:type="default" r:id="rId9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DEF0" w14:textId="77777777" w:rsidR="00663310" w:rsidRDefault="00663310" w:rsidP="00F11145">
      <w:pPr>
        <w:spacing w:after="0" w:line="240" w:lineRule="auto"/>
      </w:pPr>
      <w:r>
        <w:separator/>
      </w:r>
    </w:p>
  </w:endnote>
  <w:endnote w:type="continuationSeparator" w:id="0">
    <w:p w14:paraId="548D9BDB" w14:textId="77777777" w:rsidR="00663310" w:rsidRDefault="00663310" w:rsidP="00F1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9402" w14:textId="77777777" w:rsidR="00663310" w:rsidRDefault="00663310" w:rsidP="00F11145">
      <w:pPr>
        <w:spacing w:after="0" w:line="240" w:lineRule="auto"/>
      </w:pPr>
      <w:r>
        <w:separator/>
      </w:r>
    </w:p>
  </w:footnote>
  <w:footnote w:type="continuationSeparator" w:id="0">
    <w:p w14:paraId="0FD39FFF" w14:textId="77777777" w:rsidR="00663310" w:rsidRDefault="00663310" w:rsidP="00F11145">
      <w:pPr>
        <w:spacing w:after="0" w:line="240" w:lineRule="auto"/>
      </w:pPr>
      <w:r>
        <w:continuationSeparator/>
      </w:r>
    </w:p>
  </w:footnote>
  <w:footnote w:id="1">
    <w:p w14:paraId="3A5DC95A" w14:textId="77777777" w:rsidR="00B35E30" w:rsidRPr="006B0B8B" w:rsidRDefault="00B35E30" w:rsidP="00B35E3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FB059" w14:textId="77777777" w:rsidR="0041261E" w:rsidRPr="00F11145" w:rsidRDefault="0041261E" w:rsidP="0041261E">
    <w:pPr>
      <w:spacing w:after="0"/>
      <w:ind w:left="1701"/>
      <w:jc w:val="both"/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</w:pPr>
    <w:r w:rsidRPr="00F11145">
      <w:rPr>
        <w:rFonts w:ascii="Times New Roman" w:eastAsia="Times New Roman" w:hAnsi="Times New Roman" w:cs="Times New Roman"/>
        <w:noProof/>
        <w:color w:val="404040" w:themeColor="text1" w:themeTint="BF"/>
        <w:sz w:val="20"/>
        <w:szCs w:val="20"/>
      </w:rPr>
      <w:drawing>
        <wp:anchor distT="0" distB="0" distL="114300" distR="114300" simplePos="0" relativeHeight="251659264" behindDoc="0" locked="0" layoutInCell="1" allowOverlap="0" wp14:anchorId="548F6887" wp14:editId="1CA9D504">
          <wp:simplePos x="0" y="0"/>
          <wp:positionH relativeFrom="column">
            <wp:posOffset>55245</wp:posOffset>
          </wp:positionH>
          <wp:positionV relativeFrom="paragraph">
            <wp:posOffset>-54610</wp:posOffset>
          </wp:positionV>
          <wp:extent cx="817245" cy="1052830"/>
          <wp:effectExtent l="19050" t="0" r="1905" b="0"/>
          <wp:wrapSquare wrapText="bothSides"/>
          <wp:docPr id="1" name="obrázek 2" descr="271px-Znak_obce_Ochoz_u_B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71px-Znak_obce_Ochoz_u_Br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1052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1145"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  <w:t>Obec Ochoz u Brna</w:t>
    </w:r>
  </w:p>
  <w:p w14:paraId="7D1D1E38" w14:textId="77777777" w:rsidR="0041261E" w:rsidRDefault="0041261E" w:rsidP="0041261E">
    <w:pPr>
      <w:spacing w:after="0"/>
      <w:ind w:left="1701"/>
      <w:rPr>
        <w:rFonts w:ascii="Times New Roman" w:hAnsi="Times New Roman" w:cs="Times New Roman"/>
        <w:b/>
        <w:bCs/>
        <w:color w:val="404040" w:themeColor="text1" w:themeTint="BF"/>
        <w:sz w:val="28"/>
        <w:szCs w:val="28"/>
      </w:rPr>
    </w:pPr>
    <w:r w:rsidRPr="0041261E">
      <w:rPr>
        <w:rFonts w:ascii="Times New Roman" w:eastAsia="Times New Roman" w:hAnsi="Times New Roman" w:cs="Times New Roman"/>
        <w:b/>
        <w:color w:val="404040" w:themeColor="text1" w:themeTint="BF"/>
        <w:sz w:val="28"/>
        <w:szCs w:val="28"/>
      </w:rPr>
      <w:t xml:space="preserve">Obecně závazná vyhláška č. 1/2017, </w:t>
    </w:r>
    <w:r w:rsidRPr="0041261E">
      <w:rPr>
        <w:rFonts w:ascii="Times New Roman" w:hAnsi="Times New Roman" w:cs="Times New Roman"/>
        <w:b/>
        <w:bCs/>
        <w:color w:val="404040" w:themeColor="text1" w:themeTint="BF"/>
        <w:sz w:val="28"/>
        <w:szCs w:val="28"/>
      </w:rPr>
      <w:t>o nočním klidu</w:t>
    </w:r>
    <w:r w:rsidR="00E32FAB">
      <w:rPr>
        <w:rFonts w:ascii="Times New Roman" w:hAnsi="Times New Roman" w:cs="Times New Roman"/>
        <w:b/>
        <w:bCs/>
        <w:color w:val="404040" w:themeColor="text1" w:themeTint="BF"/>
        <w:sz w:val="28"/>
        <w:szCs w:val="28"/>
      </w:rPr>
      <w:t>,</w:t>
    </w:r>
    <w:r>
      <w:rPr>
        <w:rFonts w:ascii="Times New Roman" w:hAnsi="Times New Roman" w:cs="Times New Roman"/>
        <w:b/>
        <w:bCs/>
        <w:color w:val="404040" w:themeColor="text1" w:themeTint="BF"/>
        <w:sz w:val="28"/>
        <w:szCs w:val="28"/>
      </w:rPr>
      <w:t xml:space="preserve"> </w:t>
    </w:r>
  </w:p>
  <w:p w14:paraId="611D4D04" w14:textId="77777777" w:rsidR="0041261E" w:rsidRPr="0041261E" w:rsidRDefault="0041261E" w:rsidP="0041261E">
    <w:pPr>
      <w:spacing w:after="0"/>
      <w:ind w:left="1701"/>
      <w:rPr>
        <w:rFonts w:ascii="Times New Roman" w:eastAsia="Times New Roman" w:hAnsi="Times New Roman" w:cs="Times New Roman"/>
        <w:color w:val="404040" w:themeColor="text1" w:themeTint="BF"/>
        <w:sz w:val="24"/>
        <w:szCs w:val="24"/>
      </w:rPr>
    </w:pPr>
    <w:r w:rsidRPr="0041261E">
      <w:rPr>
        <w:rFonts w:ascii="Times New Roman" w:hAnsi="Times New Roman" w:cs="Times New Roman"/>
        <w:b/>
        <w:bCs/>
        <w:color w:val="404040" w:themeColor="text1" w:themeTint="BF"/>
        <w:sz w:val="24"/>
        <w:szCs w:val="24"/>
      </w:rPr>
      <w:t>kterou se stanovují výjimečné případy, při nichž je doba nočního klidu vymezena dobou kratší nebo žádnou, dle § 47 odst. 6 zákona č. 200/1990 Sb., o přestupcích, ve znění pozdějších předpisů</w:t>
    </w:r>
  </w:p>
  <w:p w14:paraId="3C208A44" w14:textId="77777777" w:rsidR="0041261E" w:rsidRDefault="0041261E" w:rsidP="0041261E">
    <w:pPr>
      <w:pStyle w:val="Zhlav"/>
    </w:pPr>
    <w:r w:rsidRPr="00F11145">
      <w:rPr>
        <w:rFonts w:ascii="Times New Roman" w:eastAsia="Times New Roman" w:hAnsi="Times New Roman" w:cs="Times New Roman"/>
        <w:color w:val="808080"/>
        <w:sz w:val="20"/>
        <w:szCs w:val="20"/>
      </w:rPr>
      <w:t>_________________________________________________________________________________________</w:t>
    </w:r>
  </w:p>
  <w:p w14:paraId="47651730" w14:textId="77777777" w:rsidR="00C75133" w:rsidRPr="00C75133" w:rsidRDefault="0041261E" w:rsidP="0041261E">
    <w:pPr>
      <w:pStyle w:val="Zhlav"/>
      <w:tabs>
        <w:tab w:val="clear" w:pos="4536"/>
        <w:tab w:val="clear" w:pos="9072"/>
        <w:tab w:val="left" w:pos="52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7FA2"/>
    <w:multiLevelType w:val="multilevel"/>
    <w:tmpl w:val="84401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B434BA"/>
    <w:multiLevelType w:val="multilevel"/>
    <w:tmpl w:val="FD4ABE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8B473E"/>
    <w:multiLevelType w:val="hybridMultilevel"/>
    <w:tmpl w:val="9BBA9A8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3A1E"/>
    <w:multiLevelType w:val="hybridMultilevel"/>
    <w:tmpl w:val="B55E5F2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D3484"/>
    <w:multiLevelType w:val="hybridMultilevel"/>
    <w:tmpl w:val="ADB8F9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51016"/>
    <w:multiLevelType w:val="hybridMultilevel"/>
    <w:tmpl w:val="AA2865C8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25BF9"/>
    <w:multiLevelType w:val="hybridMultilevel"/>
    <w:tmpl w:val="3F2AB296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50E6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536068"/>
    <w:multiLevelType w:val="hybridMultilevel"/>
    <w:tmpl w:val="620CC6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3E1243"/>
    <w:multiLevelType w:val="hybridMultilevel"/>
    <w:tmpl w:val="87181B1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D4283D"/>
    <w:multiLevelType w:val="multilevel"/>
    <w:tmpl w:val="6E5C4A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D4213CA"/>
    <w:multiLevelType w:val="hybridMultilevel"/>
    <w:tmpl w:val="AE30E164"/>
    <w:lvl w:ilvl="0" w:tplc="23BE9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204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620ED5"/>
    <w:multiLevelType w:val="hybridMultilevel"/>
    <w:tmpl w:val="5A18E67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463D9A"/>
    <w:multiLevelType w:val="multilevel"/>
    <w:tmpl w:val="80965CC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2FF0C85"/>
    <w:multiLevelType w:val="hybridMultilevel"/>
    <w:tmpl w:val="E18EB6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8814CB"/>
    <w:multiLevelType w:val="hybridMultilevel"/>
    <w:tmpl w:val="E6F2959A"/>
    <w:lvl w:ilvl="0" w:tplc="23BE9E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5161E9"/>
    <w:multiLevelType w:val="hybridMultilevel"/>
    <w:tmpl w:val="652CE84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23787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91A1E6A"/>
    <w:multiLevelType w:val="multilevel"/>
    <w:tmpl w:val="8BDE40B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082428"/>
    <w:multiLevelType w:val="hybridMultilevel"/>
    <w:tmpl w:val="9DAC5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3875">
    <w:abstractNumId w:val="8"/>
  </w:num>
  <w:num w:numId="2" w16cid:durableId="28381390">
    <w:abstractNumId w:val="17"/>
  </w:num>
  <w:num w:numId="3" w16cid:durableId="431896562">
    <w:abstractNumId w:val="6"/>
  </w:num>
  <w:num w:numId="4" w16cid:durableId="1522010394">
    <w:abstractNumId w:val="5"/>
  </w:num>
  <w:num w:numId="5" w16cid:durableId="1937443395">
    <w:abstractNumId w:val="13"/>
  </w:num>
  <w:num w:numId="6" w16cid:durableId="1574772770">
    <w:abstractNumId w:val="3"/>
  </w:num>
  <w:num w:numId="7" w16cid:durableId="1573588991">
    <w:abstractNumId w:val="11"/>
  </w:num>
  <w:num w:numId="8" w16cid:durableId="375350628">
    <w:abstractNumId w:val="14"/>
  </w:num>
  <w:num w:numId="9" w16cid:durableId="17778654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5676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6941875">
    <w:abstractNumId w:val="1"/>
  </w:num>
  <w:num w:numId="12" w16cid:durableId="4601484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5905653">
    <w:abstractNumId w:val="21"/>
  </w:num>
  <w:num w:numId="14" w16cid:durableId="1362971493">
    <w:abstractNumId w:val="7"/>
  </w:num>
  <w:num w:numId="15" w16cid:durableId="1703096704">
    <w:abstractNumId w:val="20"/>
  </w:num>
  <w:num w:numId="16" w16cid:durableId="871070883">
    <w:abstractNumId w:val="0"/>
  </w:num>
  <w:num w:numId="17" w16cid:durableId="1673146976">
    <w:abstractNumId w:val="10"/>
  </w:num>
  <w:num w:numId="18" w16cid:durableId="793522199">
    <w:abstractNumId w:val="4"/>
  </w:num>
  <w:num w:numId="19" w16cid:durableId="779380223">
    <w:abstractNumId w:val="2"/>
  </w:num>
  <w:num w:numId="20" w16cid:durableId="1113405245">
    <w:abstractNumId w:val="16"/>
  </w:num>
  <w:num w:numId="21" w16cid:durableId="589312677">
    <w:abstractNumId w:val="9"/>
  </w:num>
  <w:num w:numId="22" w16cid:durableId="1561329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45"/>
    <w:rsid w:val="0027490E"/>
    <w:rsid w:val="002B5359"/>
    <w:rsid w:val="00302787"/>
    <w:rsid w:val="00394598"/>
    <w:rsid w:val="003C2310"/>
    <w:rsid w:val="0041261E"/>
    <w:rsid w:val="00433C17"/>
    <w:rsid w:val="004A5DD6"/>
    <w:rsid w:val="00534F6A"/>
    <w:rsid w:val="005B716A"/>
    <w:rsid w:val="005F11F8"/>
    <w:rsid w:val="005F1E03"/>
    <w:rsid w:val="0062746F"/>
    <w:rsid w:val="00640DB1"/>
    <w:rsid w:val="00663310"/>
    <w:rsid w:val="00792E8E"/>
    <w:rsid w:val="007E4240"/>
    <w:rsid w:val="007E61C2"/>
    <w:rsid w:val="00813EF8"/>
    <w:rsid w:val="009073B0"/>
    <w:rsid w:val="00950F63"/>
    <w:rsid w:val="0097293F"/>
    <w:rsid w:val="009F2750"/>
    <w:rsid w:val="00A002A5"/>
    <w:rsid w:val="00B1206E"/>
    <w:rsid w:val="00B35E30"/>
    <w:rsid w:val="00B4645D"/>
    <w:rsid w:val="00BF6A0E"/>
    <w:rsid w:val="00C75133"/>
    <w:rsid w:val="00CA0DB0"/>
    <w:rsid w:val="00CA62A3"/>
    <w:rsid w:val="00D86164"/>
    <w:rsid w:val="00D91FF9"/>
    <w:rsid w:val="00DB08E2"/>
    <w:rsid w:val="00E30A0D"/>
    <w:rsid w:val="00E32FAB"/>
    <w:rsid w:val="00E52232"/>
    <w:rsid w:val="00F11145"/>
    <w:rsid w:val="00F6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83B76"/>
  <w15:docId w15:val="{0E094B76-669B-4374-A869-72AAC591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145"/>
  </w:style>
  <w:style w:type="paragraph" w:styleId="Zpat">
    <w:name w:val="footer"/>
    <w:basedOn w:val="Normln"/>
    <w:link w:val="ZpatChar"/>
    <w:uiPriority w:val="99"/>
    <w:unhideWhenUsed/>
    <w:rsid w:val="00F11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145"/>
  </w:style>
  <w:style w:type="paragraph" w:styleId="Textbubliny">
    <w:name w:val="Balloon Text"/>
    <w:basedOn w:val="Normln"/>
    <w:link w:val="TextbublinyChar"/>
    <w:uiPriority w:val="99"/>
    <w:semiHidden/>
    <w:unhideWhenUsed/>
    <w:rsid w:val="00F1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14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F111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114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F11145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111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11145"/>
    <w:rPr>
      <w:rFonts w:ascii="Consolas" w:hAnsi="Consolas" w:cs="Consolas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F672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6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6725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67253"/>
    <w:rPr>
      <w:rFonts w:ascii="Times New Roman" w:eastAsia="Times New Roman" w:hAnsi="Times New Roman" w:cs="Times New Roman"/>
      <w:sz w:val="24"/>
      <w:szCs w:val="20"/>
    </w:rPr>
  </w:style>
  <w:style w:type="paragraph" w:styleId="Bezmezer">
    <w:name w:val="No Spacing"/>
    <w:uiPriority w:val="1"/>
    <w:qFormat/>
    <w:rsid w:val="00F6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znamoslovan">
    <w:name w:val="Seznam očíslovaný"/>
    <w:basedOn w:val="Zkladntext"/>
    <w:uiPriority w:val="99"/>
    <w:rsid w:val="00F67253"/>
    <w:pPr>
      <w:widowControl w:val="0"/>
      <w:spacing w:after="113"/>
      <w:ind w:left="425" w:hanging="424"/>
      <w:jc w:val="both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1206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206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1206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6E7540-D0B9-43DB-A90E-43580DD4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Obecně závazná vyhláška č. 3/2015,kterou se stanoví zákaz provozování loterií a jiných podobných her na celém území obce.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Domaci</dc:creator>
  <cp:lastModifiedBy>Radka Sojkova</cp:lastModifiedBy>
  <cp:revision>2</cp:revision>
  <cp:lastPrinted>2017-04-10T09:57:00Z</cp:lastPrinted>
  <dcterms:created xsi:type="dcterms:W3CDTF">2023-10-02T11:17:00Z</dcterms:created>
  <dcterms:modified xsi:type="dcterms:W3CDTF">2023-10-02T11:17:00Z</dcterms:modified>
</cp:coreProperties>
</file>