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7" w:rsidRPr="007575D7" w:rsidRDefault="004301F7" w:rsidP="004301F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Město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575D7">
        <w:rPr>
          <w:rFonts w:ascii="Arial" w:hAnsi="Arial" w:cs="Arial"/>
          <w:b/>
          <w:sz w:val="24"/>
          <w:szCs w:val="24"/>
        </w:rPr>
        <w:t>Bohumín</w:t>
      </w:r>
    </w:p>
    <w:p w:rsidR="004301F7" w:rsidRDefault="004301F7" w:rsidP="004301F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Bohumín</w:t>
      </w:r>
    </w:p>
    <w:p w:rsidR="004301F7" w:rsidRPr="0062486B" w:rsidRDefault="004301F7" w:rsidP="004301F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301F7" w:rsidRPr="0062486B" w:rsidRDefault="004301F7" w:rsidP="004301F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Bohumín</w:t>
      </w:r>
    </w:p>
    <w:p w:rsidR="004301F7" w:rsidRDefault="004301F7" w:rsidP="004301F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:rsidR="004301F7" w:rsidRPr="0062486B" w:rsidRDefault="004301F7" w:rsidP="004301F7">
      <w:pPr>
        <w:spacing w:line="276" w:lineRule="auto"/>
        <w:jc w:val="center"/>
        <w:rPr>
          <w:rFonts w:ascii="Arial" w:hAnsi="Arial" w:cs="Arial"/>
        </w:rPr>
      </w:pPr>
    </w:p>
    <w:p w:rsidR="004301F7" w:rsidRDefault="004301F7" w:rsidP="004301F7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Bohumín se na svém zasedání dne </w:t>
      </w:r>
      <w:r w:rsidR="00241BB0">
        <w:rPr>
          <w:rFonts w:ascii="Arial" w:hAnsi="Arial" w:cs="Arial"/>
        </w:rPr>
        <w:t xml:space="preserve">9. </w:t>
      </w:r>
      <w:r w:rsidR="008C0A48">
        <w:rPr>
          <w:rFonts w:ascii="Arial" w:hAnsi="Arial" w:cs="Arial"/>
        </w:rPr>
        <w:t xml:space="preserve">září </w:t>
      </w:r>
      <w:r w:rsidR="00241BB0">
        <w:rPr>
          <w:rFonts w:ascii="Arial" w:hAnsi="Arial" w:cs="Arial"/>
        </w:rPr>
        <w:t xml:space="preserve"> 2024 </w:t>
      </w:r>
      <w:r w:rsidR="008C0A48">
        <w:rPr>
          <w:rFonts w:ascii="Arial" w:hAnsi="Arial" w:cs="Arial"/>
        </w:rPr>
        <w:t>usnesením č.</w:t>
      </w:r>
      <w:r w:rsidR="00D8048D">
        <w:rPr>
          <w:rFonts w:ascii="Arial" w:hAnsi="Arial" w:cs="Arial"/>
        </w:rPr>
        <w:t xml:space="preserve"> 138/13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4301F7" w:rsidRPr="0062486B" w:rsidRDefault="004301F7" w:rsidP="004301F7">
      <w:pPr>
        <w:spacing w:line="276" w:lineRule="auto"/>
        <w:rPr>
          <w:rFonts w:ascii="Arial" w:hAnsi="Arial" w:cs="Arial"/>
        </w:rPr>
      </w:pPr>
    </w:p>
    <w:p w:rsidR="004301F7" w:rsidRDefault="004301F7" w:rsidP="004301F7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301F7" w:rsidRPr="005F7FAE" w:rsidRDefault="004301F7" w:rsidP="004301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4301F7" w:rsidRDefault="004301F7" w:rsidP="004301F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Bohumín </w:t>
      </w:r>
      <w:r w:rsidRPr="00797898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 xml:space="preserve">2. </w:t>
      </w:r>
      <w:r w:rsidRPr="00797898">
        <w:rPr>
          <w:rFonts w:ascii="Arial" w:hAnsi="Arial" w:cs="Arial"/>
        </w:rPr>
        <w:t>Tento místní koeficient se vztahuje na všechny nemovité věci na území ce</w:t>
      </w:r>
      <w:r>
        <w:rPr>
          <w:rFonts w:ascii="Arial" w:hAnsi="Arial" w:cs="Arial"/>
        </w:rPr>
        <w:t xml:space="preserve">lého města </w:t>
      </w:r>
      <w:r w:rsidRPr="00797898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4301F7" w:rsidRDefault="004301F7" w:rsidP="004301F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:rsidR="004301F7" w:rsidRDefault="004301F7" w:rsidP="004301F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4301F7" w:rsidRDefault="004301F7" w:rsidP="004301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 xml:space="preserve">Čl. </w:t>
      </w:r>
      <w:r>
        <w:rPr>
          <w:rFonts w:ascii="Arial" w:hAnsi="Arial" w:cs="Arial"/>
          <w:b/>
          <w:szCs w:val="24"/>
        </w:rPr>
        <w:t>2</w:t>
      </w:r>
    </w:p>
    <w:p w:rsidR="004301F7" w:rsidRDefault="004301F7" w:rsidP="004301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4301F7" w:rsidRDefault="004301F7" w:rsidP="004301F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Bohumín 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4301F7" w:rsidRPr="004301F7" w:rsidRDefault="004301F7" w:rsidP="004301F7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rekreační budovy</w:t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  <w:t>koeficient 3,</w:t>
      </w:r>
    </w:p>
    <w:p w:rsidR="004301F7" w:rsidRPr="004301F7" w:rsidRDefault="004301F7" w:rsidP="004301F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zdanitelné stavby a zdanitelné jednotky pro</w:t>
      </w:r>
    </w:p>
    <w:p w:rsidR="004301F7" w:rsidRPr="004301F7" w:rsidRDefault="004301F7" w:rsidP="004301F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podnikání v zemědělské prvovýrobě, lesním</w:t>
      </w:r>
    </w:p>
    <w:p w:rsidR="004301F7" w:rsidRPr="004301F7" w:rsidRDefault="004301F7" w:rsidP="004301F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nebo vodním hospodářství</w:t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  <w:t>koeficient 3,</w:t>
      </w:r>
    </w:p>
    <w:p w:rsidR="004301F7" w:rsidRPr="004301F7" w:rsidRDefault="004301F7" w:rsidP="004301F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zdanitelné stavby a zdanitelné jednotky pro</w:t>
      </w:r>
    </w:p>
    <w:p w:rsidR="004301F7" w:rsidRPr="004301F7" w:rsidRDefault="004301F7" w:rsidP="004301F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podnikání v průmyslu, stavebnictví, dopravě,</w:t>
      </w:r>
    </w:p>
    <w:p w:rsidR="004301F7" w:rsidRPr="004301F7" w:rsidRDefault="004301F7" w:rsidP="004301F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energetice nebo ostatní zemědělské výrobě</w:t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  <w:t>koeficient 3,</w:t>
      </w:r>
    </w:p>
    <w:p w:rsidR="004301F7" w:rsidRPr="004301F7" w:rsidRDefault="004301F7" w:rsidP="004301F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zdanitelné stavby a zdanitelné jednotky pro</w:t>
      </w:r>
    </w:p>
    <w:p w:rsidR="004301F7" w:rsidRPr="004301F7" w:rsidRDefault="004301F7" w:rsidP="004301F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301F7">
        <w:rPr>
          <w:rFonts w:ascii="Arial" w:hAnsi="Arial" w:cs="Arial"/>
        </w:rPr>
        <w:t>ostatní druhy podnikání</w:t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</w:r>
      <w:r w:rsidRPr="004301F7">
        <w:rPr>
          <w:rFonts w:ascii="Arial" w:hAnsi="Arial" w:cs="Arial"/>
        </w:rPr>
        <w:tab/>
        <w:t>koeficient 3</w:t>
      </w:r>
      <w:r w:rsidR="00B40DBE">
        <w:rPr>
          <w:rFonts w:ascii="Arial" w:hAnsi="Arial" w:cs="Arial"/>
        </w:rPr>
        <w:t>.</w:t>
      </w:r>
      <w:r w:rsidRPr="004301F7">
        <w:rPr>
          <w:rFonts w:ascii="Arial" w:hAnsi="Arial" w:cs="Arial"/>
        </w:rPr>
        <w:t xml:space="preserve"> </w:t>
      </w:r>
    </w:p>
    <w:p w:rsidR="004301F7" w:rsidRDefault="004301F7" w:rsidP="004301F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4301F7" w:rsidRPr="00A23364" w:rsidRDefault="004301F7" w:rsidP="004301F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4301F7" w:rsidRPr="00841557" w:rsidRDefault="004301F7" w:rsidP="004301F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4301F7" w:rsidRPr="004301F7" w:rsidRDefault="004301F7" w:rsidP="004301F7">
      <w:pPr>
        <w:keepNext/>
        <w:spacing w:line="276" w:lineRule="auto"/>
        <w:jc w:val="center"/>
        <w:rPr>
          <w:rFonts w:ascii="Arial" w:hAnsi="Arial" w:cs="Arial"/>
          <w:b/>
        </w:rPr>
      </w:pPr>
      <w:r w:rsidRPr="004301F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:rsidR="004301F7" w:rsidRPr="004301F7" w:rsidRDefault="004301F7" w:rsidP="004301F7">
      <w:pPr>
        <w:keepNext/>
        <w:spacing w:line="276" w:lineRule="auto"/>
        <w:jc w:val="center"/>
        <w:rPr>
          <w:rFonts w:ascii="Arial" w:hAnsi="Arial" w:cs="Arial"/>
          <w:b/>
        </w:rPr>
      </w:pPr>
      <w:r w:rsidRPr="004301F7">
        <w:rPr>
          <w:rFonts w:ascii="Arial" w:hAnsi="Arial" w:cs="Arial"/>
          <w:b/>
        </w:rPr>
        <w:t>Zrušovací ustanovení</w:t>
      </w:r>
    </w:p>
    <w:p w:rsidR="004301F7" w:rsidRPr="004301F7" w:rsidRDefault="004301F7" w:rsidP="004301F7">
      <w:pPr>
        <w:spacing w:line="276" w:lineRule="auto"/>
        <w:ind w:firstLine="709"/>
        <w:rPr>
          <w:rFonts w:ascii="Arial" w:hAnsi="Arial" w:cs="Arial"/>
        </w:rPr>
      </w:pPr>
      <w:r w:rsidRPr="004301F7">
        <w:rPr>
          <w:rFonts w:ascii="Arial" w:hAnsi="Arial" w:cs="Arial"/>
        </w:rPr>
        <w:t>Zrušuje se obecně závazná vyhláška města Bohumín č. 7/2011, kterou se stanoví koeficienty pro výpočet daně z</w:t>
      </w:r>
      <w:r w:rsidR="004A3824">
        <w:rPr>
          <w:rFonts w:ascii="Arial" w:hAnsi="Arial" w:cs="Arial"/>
        </w:rPr>
        <w:t> </w:t>
      </w:r>
      <w:r w:rsidRPr="004301F7">
        <w:rPr>
          <w:rFonts w:ascii="Arial" w:hAnsi="Arial" w:cs="Arial"/>
        </w:rPr>
        <w:t>nemovitostí</w:t>
      </w:r>
      <w:r w:rsidR="004A3824">
        <w:rPr>
          <w:rFonts w:ascii="Arial" w:hAnsi="Arial" w:cs="Arial"/>
        </w:rPr>
        <w:t>,</w:t>
      </w:r>
      <w:r w:rsidRPr="004301F7">
        <w:rPr>
          <w:rFonts w:ascii="Arial" w:hAnsi="Arial" w:cs="Arial"/>
        </w:rPr>
        <w:t xml:space="preserve"> ze dne 12. 9. 2011 a obecně závazná vyhláška města Bohumín č. 4/2012</w:t>
      </w:r>
      <w:r w:rsidR="004A3824">
        <w:rPr>
          <w:rFonts w:ascii="Arial" w:hAnsi="Arial" w:cs="Arial"/>
        </w:rPr>
        <w:t>,</w:t>
      </w:r>
      <w:r w:rsidRPr="004301F7">
        <w:rPr>
          <w:rFonts w:ascii="Arial" w:hAnsi="Arial" w:cs="Arial"/>
        </w:rPr>
        <w:t xml:space="preserve">  kterou se mění obecně závazná vyhláška č. 7/2011, kterou se stanoví koeficienty pro  výpočet daně z</w:t>
      </w:r>
      <w:r w:rsidR="004A3824">
        <w:rPr>
          <w:rFonts w:ascii="Arial" w:hAnsi="Arial" w:cs="Arial"/>
        </w:rPr>
        <w:t> </w:t>
      </w:r>
      <w:r w:rsidRPr="004301F7">
        <w:rPr>
          <w:rFonts w:ascii="Arial" w:hAnsi="Arial" w:cs="Arial"/>
        </w:rPr>
        <w:t>nemovitostí</w:t>
      </w:r>
      <w:r w:rsidR="004A3824">
        <w:rPr>
          <w:rFonts w:ascii="Arial" w:hAnsi="Arial" w:cs="Arial"/>
        </w:rPr>
        <w:t>,</w:t>
      </w:r>
      <w:r w:rsidRPr="004301F7">
        <w:rPr>
          <w:rFonts w:ascii="Arial" w:hAnsi="Arial" w:cs="Arial"/>
        </w:rPr>
        <w:t xml:space="preserve"> ze dne 11. 6. 2012.</w:t>
      </w:r>
    </w:p>
    <w:p w:rsidR="004301F7" w:rsidRPr="004301F7" w:rsidRDefault="004301F7" w:rsidP="004301F7">
      <w:pPr>
        <w:spacing w:line="276" w:lineRule="auto"/>
        <w:rPr>
          <w:rFonts w:ascii="Arial" w:hAnsi="Arial" w:cs="Arial"/>
        </w:rPr>
      </w:pPr>
    </w:p>
    <w:p w:rsidR="004301F7" w:rsidRPr="004301F7" w:rsidRDefault="004301F7" w:rsidP="004301F7">
      <w:pPr>
        <w:keepNext/>
        <w:spacing w:line="276" w:lineRule="auto"/>
        <w:jc w:val="center"/>
        <w:rPr>
          <w:rFonts w:ascii="Arial" w:hAnsi="Arial" w:cs="Arial"/>
          <w:b/>
        </w:rPr>
      </w:pPr>
      <w:r w:rsidRPr="004301F7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4</w:t>
      </w:r>
    </w:p>
    <w:p w:rsidR="004301F7" w:rsidRPr="004301F7" w:rsidRDefault="004301F7" w:rsidP="004301F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4301F7">
        <w:rPr>
          <w:rFonts w:ascii="Arial" w:hAnsi="Arial" w:cs="Arial"/>
          <w:b/>
        </w:rPr>
        <w:t>Účinnost</w:t>
      </w:r>
    </w:p>
    <w:p w:rsidR="004301F7" w:rsidRPr="004301F7" w:rsidRDefault="004301F7" w:rsidP="004301F7">
      <w:pPr>
        <w:spacing w:line="276" w:lineRule="auto"/>
        <w:ind w:firstLine="709"/>
        <w:rPr>
          <w:rFonts w:ascii="Arial" w:hAnsi="Arial" w:cs="Arial"/>
        </w:rPr>
      </w:pPr>
      <w:r w:rsidRPr="004301F7">
        <w:rPr>
          <w:rFonts w:ascii="Arial" w:hAnsi="Arial" w:cs="Arial"/>
        </w:rPr>
        <w:t>Tato obecně závazná vyhláška nabývá účinnosti dnem 1. ledna 2025.</w:t>
      </w:r>
    </w:p>
    <w:p w:rsidR="004301F7" w:rsidRDefault="004301F7" w:rsidP="004301F7">
      <w:pPr>
        <w:spacing w:line="276" w:lineRule="auto"/>
        <w:rPr>
          <w:rFonts w:ascii="Arial" w:hAnsi="Arial" w:cs="Arial"/>
        </w:rPr>
      </w:pPr>
    </w:p>
    <w:p w:rsidR="00D8048D" w:rsidRDefault="00D8048D" w:rsidP="004301F7">
      <w:pPr>
        <w:spacing w:line="276" w:lineRule="auto"/>
        <w:rPr>
          <w:rFonts w:ascii="Arial" w:hAnsi="Arial" w:cs="Arial"/>
        </w:rPr>
      </w:pPr>
    </w:p>
    <w:p w:rsidR="00D8048D" w:rsidRDefault="00D8048D" w:rsidP="004301F7">
      <w:pPr>
        <w:spacing w:line="276" w:lineRule="auto"/>
        <w:rPr>
          <w:rFonts w:ascii="Arial" w:hAnsi="Arial" w:cs="Arial"/>
        </w:rPr>
      </w:pPr>
    </w:p>
    <w:p w:rsidR="00D8048D" w:rsidRDefault="00D8048D" w:rsidP="004301F7">
      <w:pPr>
        <w:spacing w:line="276" w:lineRule="auto"/>
        <w:rPr>
          <w:rFonts w:ascii="Arial" w:hAnsi="Arial" w:cs="Arial"/>
        </w:rPr>
      </w:pPr>
    </w:p>
    <w:p w:rsidR="00D8048D" w:rsidRDefault="00D8048D" w:rsidP="004301F7">
      <w:pPr>
        <w:spacing w:line="276" w:lineRule="auto"/>
        <w:rPr>
          <w:rFonts w:ascii="Arial" w:hAnsi="Arial" w:cs="Arial"/>
        </w:rPr>
      </w:pPr>
    </w:p>
    <w:p w:rsidR="00D8048D" w:rsidRDefault="00D8048D" w:rsidP="004301F7">
      <w:pPr>
        <w:spacing w:line="276" w:lineRule="auto"/>
        <w:rPr>
          <w:rFonts w:ascii="Arial" w:hAnsi="Arial" w:cs="Arial"/>
        </w:rPr>
      </w:pPr>
    </w:p>
    <w:p w:rsidR="00D8048D" w:rsidRDefault="00D8048D" w:rsidP="004301F7">
      <w:pPr>
        <w:spacing w:line="276" w:lineRule="auto"/>
        <w:rPr>
          <w:rFonts w:ascii="Arial" w:hAnsi="Arial" w:cs="Arial"/>
        </w:rPr>
      </w:pPr>
    </w:p>
    <w:p w:rsidR="00D8048D" w:rsidRDefault="00D8048D" w:rsidP="004301F7">
      <w:pPr>
        <w:spacing w:line="276" w:lineRule="auto"/>
        <w:rPr>
          <w:rFonts w:ascii="Arial" w:hAnsi="Arial" w:cs="Arial"/>
        </w:rPr>
      </w:pPr>
    </w:p>
    <w:p w:rsidR="00D8048D" w:rsidRPr="004301F7" w:rsidRDefault="00D8048D" w:rsidP="004301F7">
      <w:pPr>
        <w:spacing w:line="276" w:lineRule="auto"/>
        <w:rPr>
          <w:rFonts w:ascii="Arial" w:hAnsi="Arial" w:cs="Arial"/>
        </w:rPr>
      </w:pPr>
    </w:p>
    <w:p w:rsidR="004301F7" w:rsidRPr="004301F7" w:rsidRDefault="004301F7" w:rsidP="004301F7">
      <w:pPr>
        <w:spacing w:line="276" w:lineRule="auto"/>
        <w:rPr>
          <w:rFonts w:ascii="Arial" w:hAnsi="Arial" w:cs="Arial"/>
        </w:rPr>
      </w:pPr>
    </w:p>
    <w:p w:rsidR="004301F7" w:rsidRPr="004301F7" w:rsidRDefault="004301F7" w:rsidP="004301F7">
      <w:pPr>
        <w:spacing w:line="276" w:lineRule="auto"/>
        <w:rPr>
          <w:rFonts w:ascii="Arial" w:hAnsi="Arial" w:cs="Arial"/>
        </w:rPr>
      </w:pPr>
    </w:p>
    <w:p w:rsidR="004301F7" w:rsidRPr="004301F7" w:rsidRDefault="004301F7" w:rsidP="004301F7">
      <w:pPr>
        <w:spacing w:line="276" w:lineRule="auto"/>
        <w:rPr>
          <w:rFonts w:ascii="Arial" w:hAnsi="Arial" w:cs="Arial"/>
        </w:rPr>
        <w:sectPr w:rsidR="004301F7" w:rsidRPr="004301F7" w:rsidSect="00B13DBD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01F7" w:rsidRPr="004301F7" w:rsidRDefault="004301F7" w:rsidP="004301F7">
      <w:pPr>
        <w:keepNext/>
        <w:spacing w:line="276" w:lineRule="auto"/>
        <w:jc w:val="center"/>
        <w:rPr>
          <w:rFonts w:ascii="Arial" w:hAnsi="Arial" w:cs="Arial"/>
        </w:rPr>
      </w:pPr>
      <w:r w:rsidRPr="004301F7">
        <w:rPr>
          <w:rFonts w:ascii="Arial" w:hAnsi="Arial" w:cs="Arial"/>
        </w:rPr>
        <w:t>………………………………</w:t>
      </w:r>
    </w:p>
    <w:p w:rsidR="004301F7" w:rsidRPr="004301F7" w:rsidRDefault="004301F7" w:rsidP="004301F7">
      <w:pPr>
        <w:keepNext/>
        <w:spacing w:line="276" w:lineRule="auto"/>
        <w:jc w:val="center"/>
        <w:rPr>
          <w:rFonts w:ascii="Arial" w:hAnsi="Arial" w:cs="Arial"/>
        </w:rPr>
      </w:pPr>
      <w:r w:rsidRPr="004301F7">
        <w:rPr>
          <w:rFonts w:ascii="Arial" w:hAnsi="Arial" w:cs="Arial"/>
        </w:rPr>
        <w:t>Ing. Petr Vícha</w:t>
      </w:r>
    </w:p>
    <w:p w:rsidR="004301F7" w:rsidRPr="004301F7" w:rsidRDefault="004301F7" w:rsidP="004301F7">
      <w:pPr>
        <w:keepNext/>
        <w:spacing w:line="276" w:lineRule="auto"/>
        <w:jc w:val="center"/>
        <w:rPr>
          <w:rFonts w:ascii="Arial" w:hAnsi="Arial" w:cs="Arial"/>
        </w:rPr>
      </w:pPr>
      <w:r w:rsidRPr="004301F7">
        <w:rPr>
          <w:rFonts w:ascii="Arial" w:hAnsi="Arial" w:cs="Arial"/>
        </w:rPr>
        <w:t>starosta</w:t>
      </w:r>
      <w:r w:rsidRPr="004301F7">
        <w:rPr>
          <w:rFonts w:ascii="Arial" w:hAnsi="Arial" w:cs="Arial"/>
        </w:rPr>
        <w:br w:type="column"/>
      </w:r>
      <w:r w:rsidRPr="004301F7">
        <w:rPr>
          <w:rFonts w:ascii="Arial" w:hAnsi="Arial" w:cs="Arial"/>
        </w:rPr>
        <w:lastRenderedPageBreak/>
        <w:t>………………………………</w:t>
      </w:r>
    </w:p>
    <w:p w:rsidR="004301F7" w:rsidRPr="004301F7" w:rsidRDefault="004301F7" w:rsidP="004301F7">
      <w:pPr>
        <w:keepNext/>
        <w:spacing w:line="276" w:lineRule="auto"/>
        <w:jc w:val="center"/>
        <w:rPr>
          <w:rFonts w:ascii="Arial" w:hAnsi="Arial" w:cs="Arial"/>
        </w:rPr>
      </w:pPr>
      <w:r w:rsidRPr="004301F7">
        <w:rPr>
          <w:rFonts w:ascii="Arial" w:hAnsi="Arial" w:cs="Arial"/>
        </w:rPr>
        <w:t>Ing. Lumír Macura</w:t>
      </w:r>
    </w:p>
    <w:p w:rsidR="004301F7" w:rsidRPr="004301F7" w:rsidRDefault="004301F7" w:rsidP="004301F7">
      <w:pPr>
        <w:spacing w:line="276" w:lineRule="auto"/>
        <w:jc w:val="center"/>
        <w:rPr>
          <w:rFonts w:ascii="Arial" w:hAnsi="Arial" w:cs="Arial"/>
        </w:rPr>
        <w:sectPr w:rsidR="004301F7" w:rsidRPr="004301F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01F7">
        <w:rPr>
          <w:rFonts w:ascii="Arial" w:hAnsi="Arial" w:cs="Arial"/>
        </w:rPr>
        <w:t>místostarosta</w:t>
      </w:r>
    </w:p>
    <w:p w:rsidR="004301F7" w:rsidRPr="0062486B" w:rsidRDefault="004301F7" w:rsidP="004301F7">
      <w:pPr>
        <w:spacing w:line="276" w:lineRule="auto"/>
        <w:rPr>
          <w:rFonts w:ascii="Arial" w:hAnsi="Arial" w:cs="Arial"/>
        </w:rPr>
      </w:pPr>
    </w:p>
    <w:p w:rsidR="004301F7" w:rsidRPr="0062486B" w:rsidRDefault="004301F7" w:rsidP="004301F7">
      <w:pPr>
        <w:spacing w:line="276" w:lineRule="auto"/>
        <w:rPr>
          <w:rFonts w:ascii="Arial" w:hAnsi="Arial" w:cs="Arial"/>
        </w:rPr>
      </w:pPr>
    </w:p>
    <w:sectPr w:rsidR="004301F7" w:rsidRPr="0062486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EC" w:rsidRDefault="00CA3CEC" w:rsidP="004301F7">
      <w:pPr>
        <w:spacing w:after="0"/>
      </w:pPr>
      <w:r>
        <w:separator/>
      </w:r>
    </w:p>
  </w:endnote>
  <w:endnote w:type="continuationSeparator" w:id="0">
    <w:p w:rsidR="00CA3CEC" w:rsidRDefault="00CA3CEC" w:rsidP="00430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394538388"/>
      <w:docPartObj>
        <w:docPartGallery w:val="Page Numbers (Bottom of Page)"/>
        <w:docPartUnique/>
      </w:docPartObj>
    </w:sdtPr>
    <w:sdtEndPr/>
    <w:sdtContent>
      <w:p w:rsidR="004301F7" w:rsidRPr="00456B24" w:rsidRDefault="004301F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160E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4301F7" w:rsidRDefault="00430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EC" w:rsidRDefault="00CA3CEC" w:rsidP="004301F7">
      <w:pPr>
        <w:spacing w:after="0"/>
      </w:pPr>
      <w:r>
        <w:separator/>
      </w:r>
    </w:p>
  </w:footnote>
  <w:footnote w:type="continuationSeparator" w:id="0">
    <w:p w:rsidR="00CA3CEC" w:rsidRDefault="00CA3CEC" w:rsidP="004301F7">
      <w:pPr>
        <w:spacing w:after="0"/>
      </w:pPr>
      <w:r>
        <w:continuationSeparator/>
      </w:r>
    </w:p>
  </w:footnote>
  <w:footnote w:id="1">
    <w:p w:rsidR="004301F7" w:rsidRPr="00A23364" w:rsidRDefault="004301F7" w:rsidP="004301F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:rsidR="004301F7" w:rsidRDefault="004301F7" w:rsidP="004301F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:rsidR="004301F7" w:rsidRPr="00A23364" w:rsidRDefault="004301F7" w:rsidP="004301F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7"/>
    <w:rsid w:val="00185BB6"/>
    <w:rsid w:val="00241BB0"/>
    <w:rsid w:val="004301F7"/>
    <w:rsid w:val="004A3824"/>
    <w:rsid w:val="005B33E2"/>
    <w:rsid w:val="00621B21"/>
    <w:rsid w:val="00626A1E"/>
    <w:rsid w:val="007575D7"/>
    <w:rsid w:val="008C0A48"/>
    <w:rsid w:val="00AD61A5"/>
    <w:rsid w:val="00B40DBE"/>
    <w:rsid w:val="00CA3CEC"/>
    <w:rsid w:val="00CA5920"/>
    <w:rsid w:val="00D8048D"/>
    <w:rsid w:val="00E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9D7D2-6F8A-458E-9230-53712CEE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1F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1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01F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01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01F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301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3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Bonczková Monika</dc:creator>
  <cp:keywords/>
  <dc:description/>
  <cp:lastModifiedBy>Zuziak Roman</cp:lastModifiedBy>
  <cp:revision>2</cp:revision>
  <dcterms:created xsi:type="dcterms:W3CDTF">2024-09-20T07:02:00Z</dcterms:created>
  <dcterms:modified xsi:type="dcterms:W3CDTF">2024-09-20T07:02:00Z</dcterms:modified>
</cp:coreProperties>
</file>