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31F6" w14:textId="5F7B81E0" w:rsidR="00AB69AB" w:rsidRPr="00E50293" w:rsidRDefault="00AB69AB" w:rsidP="00E50293">
      <w:pPr>
        <w:rPr>
          <w:sz w:val="26"/>
          <w:szCs w:val="26"/>
        </w:rPr>
      </w:pPr>
    </w:p>
    <w:p w14:paraId="420878D1" w14:textId="60FA46C4" w:rsidR="00B1791A" w:rsidRDefault="00E50293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KLIMKOVICE</w:t>
      </w:r>
    </w:p>
    <w:p w14:paraId="5A0FCA95" w14:textId="7BFDF74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E50293">
        <w:rPr>
          <w:rFonts w:ascii="Arial" w:hAnsi="Arial" w:cs="Arial"/>
          <w:b/>
        </w:rPr>
        <w:t xml:space="preserve"> Klimkovic</w:t>
      </w:r>
      <w:r w:rsidR="003D5CF6">
        <w:rPr>
          <w:rFonts w:ascii="Arial" w:hAnsi="Arial" w:cs="Arial"/>
          <w:b/>
        </w:rPr>
        <w:t>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9F4AD3B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50293">
        <w:rPr>
          <w:rFonts w:ascii="Arial" w:hAnsi="Arial" w:cs="Arial"/>
          <w:b/>
        </w:rPr>
        <w:t>města Klimkovic</w:t>
      </w:r>
      <w:r w:rsidR="003D5CF6">
        <w:rPr>
          <w:rFonts w:ascii="Arial" w:hAnsi="Arial" w:cs="Arial"/>
          <w:b/>
        </w:rPr>
        <w:t>e</w:t>
      </w:r>
      <w:r w:rsidR="00522BBB">
        <w:rPr>
          <w:rFonts w:ascii="Arial" w:hAnsi="Arial" w:cs="Arial"/>
          <w:b/>
        </w:rPr>
        <w:t xml:space="preserve">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F87D20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E50293">
        <w:rPr>
          <w:rFonts w:ascii="Arial" w:hAnsi="Arial" w:cs="Arial"/>
          <w:sz w:val="22"/>
          <w:szCs w:val="22"/>
        </w:rPr>
        <w:t>města Klimkovic</w:t>
      </w:r>
      <w:r>
        <w:rPr>
          <w:rFonts w:ascii="Arial" w:hAnsi="Arial" w:cs="Arial"/>
          <w:sz w:val="22"/>
          <w:szCs w:val="22"/>
        </w:rPr>
        <w:t xml:space="preserve"> </w:t>
      </w:r>
      <w:r w:rsidR="00E50293">
        <w:rPr>
          <w:rFonts w:ascii="Arial" w:hAnsi="Arial" w:cs="Arial"/>
          <w:sz w:val="22"/>
          <w:szCs w:val="22"/>
        </w:rPr>
        <w:t xml:space="preserve">se na svém </w:t>
      </w:r>
      <w:r w:rsidR="00241E83">
        <w:rPr>
          <w:rFonts w:ascii="Arial" w:hAnsi="Arial" w:cs="Arial"/>
          <w:sz w:val="22"/>
          <w:szCs w:val="22"/>
        </w:rPr>
        <w:t>1</w:t>
      </w:r>
      <w:r w:rsidR="002B0C2C">
        <w:rPr>
          <w:rFonts w:ascii="Arial" w:hAnsi="Arial" w:cs="Arial"/>
          <w:sz w:val="22"/>
          <w:szCs w:val="22"/>
        </w:rPr>
        <w:t>4</w:t>
      </w:r>
      <w:r w:rsidR="00522BBB">
        <w:rPr>
          <w:rFonts w:ascii="Arial" w:hAnsi="Arial" w:cs="Arial"/>
          <w:sz w:val="22"/>
          <w:szCs w:val="22"/>
        </w:rPr>
        <w:t xml:space="preserve">. </w:t>
      </w:r>
      <w:r w:rsidR="00E50293">
        <w:rPr>
          <w:rFonts w:ascii="Arial" w:hAnsi="Arial" w:cs="Arial"/>
          <w:sz w:val="22"/>
          <w:szCs w:val="22"/>
        </w:rPr>
        <w:t xml:space="preserve">zasedání dne </w:t>
      </w:r>
      <w:r w:rsidR="00241E83">
        <w:rPr>
          <w:rFonts w:ascii="Arial" w:hAnsi="Arial" w:cs="Arial"/>
          <w:sz w:val="22"/>
          <w:szCs w:val="22"/>
        </w:rPr>
        <w:t>1</w:t>
      </w:r>
      <w:r w:rsidR="002B0C2C">
        <w:rPr>
          <w:rFonts w:ascii="Arial" w:hAnsi="Arial" w:cs="Arial"/>
          <w:sz w:val="22"/>
          <w:szCs w:val="22"/>
        </w:rPr>
        <w:t>4</w:t>
      </w:r>
      <w:r w:rsidR="00241E83">
        <w:rPr>
          <w:rFonts w:ascii="Arial" w:hAnsi="Arial" w:cs="Arial"/>
          <w:sz w:val="22"/>
          <w:szCs w:val="22"/>
        </w:rPr>
        <w:t xml:space="preserve">. </w:t>
      </w:r>
      <w:r w:rsidR="002B0C2C">
        <w:rPr>
          <w:rFonts w:ascii="Arial" w:hAnsi="Arial" w:cs="Arial"/>
          <w:sz w:val="22"/>
          <w:szCs w:val="22"/>
        </w:rPr>
        <w:t>5</w:t>
      </w:r>
      <w:r w:rsidR="00522BBB" w:rsidRPr="00522BBB">
        <w:rPr>
          <w:rFonts w:ascii="Arial" w:hAnsi="Arial" w:cs="Arial"/>
          <w:sz w:val="22"/>
          <w:szCs w:val="22"/>
        </w:rPr>
        <w:t>. 202</w:t>
      </w:r>
      <w:r w:rsidR="002B0C2C">
        <w:rPr>
          <w:rFonts w:ascii="Arial" w:hAnsi="Arial" w:cs="Arial"/>
          <w:sz w:val="22"/>
          <w:szCs w:val="22"/>
        </w:rPr>
        <w:t>5</w:t>
      </w:r>
      <w:r w:rsidR="00E50293" w:rsidRPr="00522BBB">
        <w:rPr>
          <w:rFonts w:ascii="Arial" w:hAnsi="Arial" w:cs="Arial"/>
          <w:sz w:val="22"/>
          <w:szCs w:val="22"/>
        </w:rPr>
        <w:t xml:space="preserve"> </w:t>
      </w:r>
      <w:r w:rsidR="00E50293">
        <w:rPr>
          <w:rFonts w:ascii="Arial" w:hAnsi="Arial" w:cs="Arial"/>
          <w:sz w:val="22"/>
          <w:szCs w:val="22"/>
        </w:rPr>
        <w:t xml:space="preserve">usnesením č. </w:t>
      </w:r>
      <w:r w:rsidR="00283002">
        <w:rPr>
          <w:rFonts w:ascii="Arial" w:hAnsi="Arial" w:cs="Arial"/>
          <w:sz w:val="22"/>
          <w:szCs w:val="22"/>
        </w:rPr>
        <w:t>14/285.1</w:t>
      </w:r>
      <w:r w:rsidR="00E50293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EADAE60" w:rsidR="00AB69AB" w:rsidRPr="00B1791A" w:rsidRDefault="00E50293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Klimkovice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5FD0D18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E50293">
        <w:rPr>
          <w:rFonts w:ascii="Arial" w:hAnsi="Arial" w:cs="Arial"/>
          <w:sz w:val="22"/>
          <w:szCs w:val="22"/>
        </w:rPr>
        <w:t>Městský úřad Klimkovice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12614E52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6D674CB5" w14:textId="7F08C076" w:rsidR="00B1791A" w:rsidRPr="00E50293" w:rsidRDefault="00AB218D" w:rsidP="00E50293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18FEAA0E" w:rsidR="00AB218D" w:rsidRPr="000A49AB" w:rsidRDefault="00AB218D" w:rsidP="00405B16">
      <w:pPr>
        <w:spacing w:before="120" w:line="312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405B16">
        <w:rPr>
          <w:rFonts w:ascii="Arial" w:hAnsi="Arial" w:cs="Arial"/>
          <w:sz w:val="22"/>
          <w:szCs w:val="22"/>
        </w:rPr>
        <w:t>prostranství, která jsou uvedena jmenovitě v příloze      č. 1. Tato příloha tvoří nedílnou součást této vyhlášky.</w:t>
      </w:r>
    </w:p>
    <w:p w14:paraId="491FC890" w14:textId="7DD16420" w:rsidR="005D5ACA" w:rsidRDefault="005D5ACA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35E1B52" w14:textId="59300156" w:rsidR="005D5ACA" w:rsidRDefault="005D5ACA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42246F3" w14:textId="31433D79" w:rsidR="00AB218D" w:rsidRPr="00D005A8" w:rsidRDefault="002D0857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911290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522BB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0DC812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D55956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E50293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40BD9EE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E50293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F6D0F9F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E50293">
        <w:rPr>
          <w:rFonts w:ascii="Arial" w:hAnsi="Arial" w:cs="Arial"/>
          <w:sz w:val="22"/>
          <w:szCs w:val="22"/>
        </w:rPr>
        <w:t xml:space="preserve"> </w:t>
      </w:r>
      <w:r w:rsidR="003D5CF6">
        <w:rPr>
          <w:rFonts w:ascii="Arial" w:hAnsi="Arial" w:cs="Arial"/>
          <w:sz w:val="22"/>
          <w:szCs w:val="22"/>
        </w:rPr>
        <w:t>1</w:t>
      </w:r>
      <w:r w:rsidR="00E50293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BED1335" w:rsidR="00AB218D" w:rsidRPr="00656E0D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56E0D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656E0D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656E0D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656E0D">
        <w:rPr>
          <w:rFonts w:ascii="Arial" w:hAnsi="Arial" w:cs="Arial"/>
          <w:iCs/>
          <w:sz w:val="22"/>
          <w:szCs w:val="22"/>
        </w:rPr>
        <w:t>pro poskytování prodeje</w:t>
      </w:r>
      <w:r w:rsidR="003C3B79" w:rsidRPr="00656E0D">
        <w:rPr>
          <w:rFonts w:ascii="Arial" w:hAnsi="Arial" w:cs="Arial"/>
          <w:iCs/>
          <w:sz w:val="22"/>
          <w:szCs w:val="22"/>
        </w:rPr>
        <w:t xml:space="preserve"> 50</w:t>
      </w:r>
      <w:r w:rsidR="00FD1979" w:rsidRPr="00656E0D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656E0D">
        <w:rPr>
          <w:rFonts w:ascii="Arial" w:hAnsi="Arial" w:cs="Arial"/>
          <w:sz w:val="22"/>
          <w:szCs w:val="22"/>
        </w:rPr>
        <w:t>Kč</w:t>
      </w:r>
      <w:r w:rsidR="00F15EBC" w:rsidRPr="00656E0D">
        <w:rPr>
          <w:rFonts w:ascii="Arial" w:hAnsi="Arial" w:cs="Arial"/>
          <w:sz w:val="22"/>
          <w:szCs w:val="22"/>
        </w:rPr>
        <w:t>,</w:t>
      </w:r>
    </w:p>
    <w:p w14:paraId="50BA0E81" w14:textId="331B13C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3C3B79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513F90D4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3C3B79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FDBB4A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56E0D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656E0D">
        <w:rPr>
          <w:rFonts w:ascii="Arial" w:hAnsi="Arial" w:cs="Arial"/>
          <w:iCs/>
          <w:sz w:val="22"/>
          <w:szCs w:val="22"/>
        </w:rPr>
        <w:t>ch</w:t>
      </w:r>
      <w:r w:rsidRPr="00656E0D">
        <w:rPr>
          <w:rFonts w:ascii="Arial" w:hAnsi="Arial" w:cs="Arial"/>
          <w:iCs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3C3B79">
        <w:rPr>
          <w:rFonts w:ascii="Arial" w:hAnsi="Arial" w:cs="Arial"/>
          <w:i/>
          <w:iCs/>
          <w:sz w:val="22"/>
          <w:szCs w:val="22"/>
        </w:rPr>
        <w:t>2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34C39638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56E0D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656E0D">
        <w:rPr>
          <w:rFonts w:ascii="Arial" w:hAnsi="Arial" w:cs="Arial"/>
          <w:iCs/>
          <w:sz w:val="22"/>
          <w:szCs w:val="22"/>
        </w:rPr>
        <w:t xml:space="preserve">zařízení </w:t>
      </w:r>
      <w:r w:rsidRPr="00656E0D">
        <w:rPr>
          <w:rFonts w:ascii="Arial" w:hAnsi="Arial" w:cs="Arial"/>
          <w:iCs/>
          <w:sz w:val="22"/>
          <w:szCs w:val="22"/>
        </w:rPr>
        <w:t>lunaparků a jiných</w:t>
      </w:r>
      <w:r w:rsidR="0008365C" w:rsidRPr="00656E0D">
        <w:rPr>
          <w:rFonts w:ascii="Arial" w:hAnsi="Arial" w:cs="Arial"/>
          <w:iCs/>
          <w:sz w:val="22"/>
          <w:szCs w:val="22"/>
        </w:rPr>
        <w:t xml:space="preserve"> obdobných</w:t>
      </w:r>
      <w:r w:rsidRPr="00656E0D">
        <w:rPr>
          <w:rFonts w:ascii="Arial" w:hAnsi="Arial" w:cs="Arial"/>
          <w:iCs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3C3B79">
        <w:rPr>
          <w:rFonts w:ascii="Arial" w:hAnsi="Arial" w:cs="Arial"/>
          <w:iCs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175F9868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3C3B79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4524EA68" w:rsidR="00AB218D" w:rsidRPr="00656E0D" w:rsidRDefault="00AB218D" w:rsidP="00656E0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3C3B79">
        <w:rPr>
          <w:rFonts w:ascii="Arial" w:hAnsi="Arial" w:cs="Arial"/>
          <w:sz w:val="22"/>
          <w:szCs w:val="22"/>
        </w:rPr>
        <w:t xml:space="preserve"> 5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58806E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</w:t>
      </w:r>
      <w:r w:rsidR="00E50293">
        <w:rPr>
          <w:rFonts w:ascii="Arial" w:hAnsi="Arial" w:cs="Arial"/>
          <w:sz w:val="22"/>
          <w:szCs w:val="22"/>
        </w:rPr>
        <w:t xml:space="preserve"> prostranství pro kulturní akce 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8F72BA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</w:t>
      </w:r>
      <w:r w:rsidR="00E50293">
        <w:rPr>
          <w:rFonts w:ascii="Arial" w:hAnsi="Arial" w:cs="Arial"/>
          <w:sz w:val="22"/>
          <w:szCs w:val="22"/>
        </w:rPr>
        <w:t xml:space="preserve">prostranství pro sportovní akce 5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8FFCB1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E50293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70717F" w14:textId="45331F66" w:rsidR="00AB218D" w:rsidRPr="00656E0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E50293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15B13A45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poplatek </w:t>
      </w:r>
      <w:r w:rsidR="003E4D06">
        <w:rPr>
          <w:rFonts w:ascii="Arial" w:hAnsi="Arial" w:cs="Arial"/>
          <w:sz w:val="22"/>
          <w:szCs w:val="22"/>
        </w:rPr>
        <w:t xml:space="preserve">za umístění reklamních zařízení paušální částkou takto: </w:t>
      </w:r>
    </w:p>
    <w:p w14:paraId="7567F8FA" w14:textId="33C5EB2B" w:rsidR="00AB218D" w:rsidRPr="000720E9" w:rsidRDefault="003C3B79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 Kč/měsíc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156EA647" w14:textId="0562626C" w:rsidR="00C62D15" w:rsidRDefault="003C3B79" w:rsidP="003E4D06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 Kč/rok</w:t>
      </w:r>
      <w:r w:rsidR="003D5CF6">
        <w:rPr>
          <w:rFonts w:ascii="Arial" w:hAnsi="Arial" w:cs="Arial"/>
          <w:sz w:val="22"/>
          <w:szCs w:val="22"/>
        </w:rPr>
        <w:t>.</w:t>
      </w:r>
    </w:p>
    <w:p w14:paraId="0AE6FB0C" w14:textId="77777777" w:rsidR="007C59B2" w:rsidRPr="0033491B" w:rsidRDefault="007C59B2" w:rsidP="007C59B2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2A666B07" w14:textId="39A6703B" w:rsidR="007C59B2" w:rsidRPr="007C59B2" w:rsidRDefault="007C59B2" w:rsidP="007C59B2">
      <w:pPr>
        <w:pStyle w:val="Odstavecseseznamem"/>
        <w:tabs>
          <w:tab w:val="left" w:pos="77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49361AB" w14:textId="12F308F9" w:rsidR="00D15693" w:rsidRPr="00656E0D" w:rsidRDefault="00AB218D" w:rsidP="00656E0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633E9FB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656E0D">
        <w:rPr>
          <w:rFonts w:ascii="Arial" w:hAnsi="Arial" w:cs="Arial"/>
          <w:sz w:val="22"/>
          <w:szCs w:val="22"/>
        </w:rPr>
        <w:t xml:space="preserve">o prostranství po dobu kratší 4 </w:t>
      </w:r>
      <w:r w:rsidRPr="00357895">
        <w:rPr>
          <w:rFonts w:ascii="Arial" w:hAnsi="Arial" w:cs="Arial"/>
          <w:sz w:val="22"/>
          <w:szCs w:val="22"/>
        </w:rPr>
        <w:t xml:space="preserve">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ACAD8C1" w:rsidR="00AB218D" w:rsidRPr="00283002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</w:t>
      </w:r>
      <w:r w:rsidR="00656E0D">
        <w:rPr>
          <w:rFonts w:ascii="Arial" w:hAnsi="Arial" w:cs="Arial"/>
          <w:sz w:val="22"/>
          <w:szCs w:val="22"/>
        </w:rPr>
        <w:t xml:space="preserve">ejného </w:t>
      </w:r>
      <w:r w:rsidR="00656E0D" w:rsidRPr="00283002">
        <w:rPr>
          <w:rFonts w:ascii="Arial" w:hAnsi="Arial" w:cs="Arial"/>
          <w:sz w:val="22"/>
          <w:szCs w:val="22"/>
        </w:rPr>
        <w:t xml:space="preserve">prostranství po dobu 4 dnů nebo delší nejpozději do 7 </w:t>
      </w:r>
      <w:r w:rsidRPr="00283002">
        <w:rPr>
          <w:rFonts w:ascii="Arial" w:hAnsi="Arial" w:cs="Arial"/>
          <w:sz w:val="22"/>
          <w:szCs w:val="22"/>
        </w:rPr>
        <w:t xml:space="preserve">dnů od </w:t>
      </w:r>
      <w:r w:rsidR="002524BF" w:rsidRPr="00283002">
        <w:rPr>
          <w:rFonts w:ascii="Arial" w:hAnsi="Arial" w:cs="Arial"/>
          <w:sz w:val="22"/>
          <w:szCs w:val="22"/>
        </w:rPr>
        <w:t>ukončení</w:t>
      </w:r>
      <w:r w:rsidRPr="00283002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12EA43A6" w14:textId="55EDA099" w:rsidR="00241E83" w:rsidRPr="00283002" w:rsidRDefault="004D78FE" w:rsidP="004D78FE">
      <w:pPr>
        <w:spacing w:before="120" w:after="60" w:line="264" w:lineRule="auto"/>
        <w:ind w:left="567" w:hanging="709"/>
        <w:jc w:val="both"/>
        <w:rPr>
          <w:rFonts w:ascii="Arial" w:hAnsi="Arial" w:cs="Arial"/>
          <w:sz w:val="22"/>
          <w:szCs w:val="22"/>
        </w:rPr>
      </w:pPr>
      <w:r w:rsidRPr="00283002">
        <w:rPr>
          <w:rFonts w:ascii="Arial" w:hAnsi="Arial" w:cs="Arial"/>
          <w:sz w:val="22"/>
          <w:szCs w:val="22"/>
        </w:rPr>
        <w:t xml:space="preserve">  (2)   P</w:t>
      </w:r>
      <w:r w:rsidR="008608F0" w:rsidRPr="00283002">
        <w:rPr>
          <w:rFonts w:ascii="Arial" w:hAnsi="Arial" w:cs="Arial"/>
          <w:sz w:val="22"/>
          <w:szCs w:val="22"/>
        </w:rPr>
        <w:t>oplatek, jehož výše je stanovena denní sazbou (čl. 5 odst. a, b a c), a při užívání veřejného prostranství po dobu minimálně 12 kalendářních měsíců, je poplatek splatný ve splátkách vždy k 15. dni po uplynutí 12 kalendářních měsíců užívání, přičemž poslední splátka je pak splatná k 15. dni po skončení užívání.</w:t>
      </w:r>
    </w:p>
    <w:p w14:paraId="6C76383D" w14:textId="77777777" w:rsidR="004D78FE" w:rsidRPr="00283002" w:rsidRDefault="004D78FE" w:rsidP="004D78FE">
      <w:pPr>
        <w:spacing w:before="120" w:after="60" w:line="264" w:lineRule="auto"/>
        <w:ind w:left="567" w:hanging="709"/>
        <w:jc w:val="both"/>
        <w:rPr>
          <w:rFonts w:ascii="Arial" w:hAnsi="Arial" w:cs="Arial"/>
          <w:sz w:val="10"/>
          <w:szCs w:val="10"/>
        </w:rPr>
      </w:pPr>
    </w:p>
    <w:p w14:paraId="631E1615" w14:textId="18D9B7AA" w:rsidR="004D78FE" w:rsidRPr="00283002" w:rsidRDefault="004D78FE" w:rsidP="004D78F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83002">
        <w:rPr>
          <w:rFonts w:ascii="Arial" w:hAnsi="Arial" w:cs="Arial"/>
          <w:sz w:val="22"/>
          <w:szCs w:val="22"/>
        </w:rPr>
        <w:t xml:space="preserve">(3)     </w:t>
      </w:r>
      <w:r w:rsidR="007C59B2" w:rsidRPr="00283002">
        <w:rPr>
          <w:rFonts w:ascii="Arial" w:hAnsi="Arial" w:cs="Arial"/>
          <w:sz w:val="22"/>
          <w:szCs w:val="22"/>
        </w:rPr>
        <w:t xml:space="preserve">Poplatek stanovený měsíční paušální částkou je splatný do 15. dne od počátku každého </w:t>
      </w:r>
      <w:r w:rsidRPr="00283002">
        <w:rPr>
          <w:rFonts w:ascii="Arial" w:hAnsi="Arial" w:cs="Arial"/>
          <w:sz w:val="22"/>
          <w:szCs w:val="22"/>
        </w:rPr>
        <w:t xml:space="preserve"> </w:t>
      </w:r>
    </w:p>
    <w:p w14:paraId="551ADCAC" w14:textId="458C37AB" w:rsidR="007C59B2" w:rsidRPr="00283002" w:rsidRDefault="004D78FE" w:rsidP="004D78F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83002">
        <w:rPr>
          <w:rFonts w:ascii="Arial" w:hAnsi="Arial" w:cs="Arial"/>
          <w:sz w:val="22"/>
          <w:szCs w:val="22"/>
        </w:rPr>
        <w:t xml:space="preserve">         </w:t>
      </w:r>
      <w:r w:rsidR="007C59B2" w:rsidRPr="00283002">
        <w:rPr>
          <w:rFonts w:ascii="Arial" w:hAnsi="Arial" w:cs="Arial"/>
          <w:sz w:val="22"/>
          <w:szCs w:val="22"/>
        </w:rPr>
        <w:t xml:space="preserve">měsíčního poplatkového období. </w:t>
      </w:r>
    </w:p>
    <w:p w14:paraId="2F407303" w14:textId="77777777" w:rsidR="004D78FE" w:rsidRPr="004D78FE" w:rsidRDefault="004D78FE" w:rsidP="004D78FE">
      <w:pPr>
        <w:spacing w:line="312" w:lineRule="auto"/>
        <w:jc w:val="both"/>
        <w:rPr>
          <w:rFonts w:ascii="Arial" w:hAnsi="Arial" w:cs="Arial"/>
          <w:sz w:val="8"/>
          <w:szCs w:val="8"/>
        </w:rPr>
      </w:pPr>
    </w:p>
    <w:p w14:paraId="7DB5B1B3" w14:textId="4374ADFD" w:rsidR="004D78FE" w:rsidRDefault="004D78FE" w:rsidP="004D78F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   </w:t>
      </w:r>
      <w:r w:rsidR="007C59B2" w:rsidRPr="008608F0">
        <w:rPr>
          <w:rFonts w:ascii="Arial" w:hAnsi="Arial" w:cs="Arial"/>
          <w:sz w:val="22"/>
          <w:szCs w:val="22"/>
        </w:rPr>
        <w:t xml:space="preserve">Poplatek stanovený roční paušální částkou je splatný do </w:t>
      </w:r>
      <w:r w:rsidR="008608F0" w:rsidRPr="008608F0">
        <w:rPr>
          <w:rFonts w:ascii="Arial" w:hAnsi="Arial" w:cs="Arial"/>
          <w:sz w:val="22"/>
          <w:szCs w:val="22"/>
        </w:rPr>
        <w:t>30</w:t>
      </w:r>
      <w:r w:rsidR="007C59B2" w:rsidRPr="008608F0">
        <w:rPr>
          <w:rFonts w:ascii="Arial" w:hAnsi="Arial" w:cs="Arial"/>
          <w:sz w:val="22"/>
          <w:szCs w:val="22"/>
        </w:rPr>
        <w:t xml:space="preserve">. dne od počátku </w:t>
      </w:r>
      <w:r w:rsidR="008608F0" w:rsidRPr="008608F0">
        <w:rPr>
          <w:rFonts w:ascii="Arial" w:hAnsi="Arial" w:cs="Arial"/>
          <w:sz w:val="22"/>
          <w:szCs w:val="22"/>
        </w:rPr>
        <w:t xml:space="preserve">ročního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DE63AD" w14:textId="4B50811D" w:rsidR="007C59B2" w:rsidRDefault="004D78FE" w:rsidP="004D78F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608F0" w:rsidRPr="008608F0">
        <w:rPr>
          <w:rFonts w:ascii="Arial" w:hAnsi="Arial" w:cs="Arial"/>
          <w:sz w:val="22"/>
          <w:szCs w:val="22"/>
        </w:rPr>
        <w:t xml:space="preserve">poplatkového období. </w:t>
      </w:r>
    </w:p>
    <w:p w14:paraId="6A7618D0" w14:textId="77777777" w:rsidR="004D78FE" w:rsidRPr="004D78FE" w:rsidRDefault="004D78FE" w:rsidP="004D78FE">
      <w:pPr>
        <w:spacing w:line="312" w:lineRule="auto"/>
        <w:jc w:val="both"/>
        <w:rPr>
          <w:rFonts w:ascii="Arial" w:hAnsi="Arial" w:cs="Arial"/>
          <w:sz w:val="8"/>
          <w:szCs w:val="8"/>
        </w:rPr>
      </w:pPr>
    </w:p>
    <w:p w14:paraId="78AF52D2" w14:textId="77777777" w:rsidR="004D78FE" w:rsidRDefault="004D78FE" w:rsidP="004D78F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   </w:t>
      </w:r>
      <w:r w:rsidR="00E83E36"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="00E83E36"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0BEC17" w14:textId="62625603" w:rsidR="0097030C" w:rsidRPr="00BF7A3F" w:rsidRDefault="004D78FE" w:rsidP="004D78F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83E36" w:rsidRPr="00357895">
        <w:rPr>
          <w:rFonts w:ascii="Arial" w:hAnsi="Arial" w:cs="Arial"/>
          <w:sz w:val="22"/>
          <w:szCs w:val="22"/>
        </w:rPr>
        <w:t>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8392335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4894E7C5" w:rsidR="005113E8" w:rsidRPr="003D5CF6" w:rsidRDefault="005113E8" w:rsidP="003D5CF6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3D5CF6">
        <w:rPr>
          <w:rFonts w:ascii="Arial" w:hAnsi="Arial" w:cs="Arial"/>
          <w:sz w:val="22"/>
          <w:szCs w:val="22"/>
        </w:rPr>
        <w:t xml:space="preserve"> </w:t>
      </w:r>
      <w:r w:rsidRPr="003D5CF6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3D5CF6">
        <w:rPr>
          <w:rFonts w:ascii="Arial" w:hAnsi="Arial" w:cs="Arial"/>
          <w:sz w:val="22"/>
          <w:szCs w:val="22"/>
        </w:rPr>
        <w:t xml:space="preserve">celý </w:t>
      </w:r>
      <w:r w:rsidRPr="003D5CF6">
        <w:rPr>
          <w:rFonts w:ascii="Arial" w:hAnsi="Arial" w:cs="Arial"/>
          <w:sz w:val="22"/>
          <w:szCs w:val="22"/>
        </w:rPr>
        <w:t xml:space="preserve">výtěžek je </w:t>
      </w:r>
      <w:r w:rsidR="00C76234" w:rsidRPr="003D5CF6">
        <w:rPr>
          <w:rFonts w:ascii="Arial" w:hAnsi="Arial" w:cs="Arial"/>
          <w:sz w:val="22"/>
          <w:szCs w:val="22"/>
        </w:rPr>
        <w:t>odveden</w:t>
      </w:r>
      <w:r w:rsidRPr="003D5CF6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D5CF6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1B05E50D" w:rsidR="00AB218D" w:rsidRPr="00357895" w:rsidRDefault="003D5CF6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</w:t>
      </w:r>
      <w:r w:rsidR="0043561C">
        <w:rPr>
          <w:rFonts w:ascii="Arial" w:hAnsi="Arial" w:cs="Arial"/>
          <w:sz w:val="22"/>
          <w:szCs w:val="22"/>
        </w:rPr>
        <w:t>měst</w:t>
      </w:r>
      <w:r>
        <w:rPr>
          <w:rFonts w:ascii="Arial" w:hAnsi="Arial" w:cs="Arial"/>
          <w:sz w:val="22"/>
          <w:szCs w:val="22"/>
        </w:rPr>
        <w:t>em</w:t>
      </w:r>
      <w:r w:rsidR="0043561C">
        <w:rPr>
          <w:rFonts w:ascii="Arial" w:hAnsi="Arial" w:cs="Arial"/>
          <w:sz w:val="22"/>
          <w:szCs w:val="22"/>
        </w:rPr>
        <w:t xml:space="preserve"> Klimkovice a příspěvkov</w:t>
      </w:r>
      <w:r>
        <w:rPr>
          <w:rFonts w:ascii="Arial" w:hAnsi="Arial" w:cs="Arial"/>
          <w:sz w:val="22"/>
          <w:szCs w:val="22"/>
        </w:rPr>
        <w:t>ými</w:t>
      </w:r>
      <w:r w:rsidR="0043561C">
        <w:rPr>
          <w:rFonts w:ascii="Arial" w:hAnsi="Arial" w:cs="Arial"/>
          <w:sz w:val="22"/>
          <w:szCs w:val="22"/>
        </w:rPr>
        <w:t xml:space="preserve"> organizace</w:t>
      </w:r>
      <w:r>
        <w:rPr>
          <w:rFonts w:ascii="Arial" w:hAnsi="Arial" w:cs="Arial"/>
          <w:sz w:val="22"/>
          <w:szCs w:val="22"/>
        </w:rPr>
        <w:t>mi</w:t>
      </w:r>
      <w:r w:rsidR="0043561C">
        <w:rPr>
          <w:rFonts w:ascii="Arial" w:hAnsi="Arial" w:cs="Arial"/>
          <w:sz w:val="22"/>
          <w:szCs w:val="22"/>
        </w:rPr>
        <w:t xml:space="preserve"> města Klimkovic</w:t>
      </w:r>
      <w:r>
        <w:rPr>
          <w:rFonts w:ascii="Arial" w:hAnsi="Arial" w:cs="Arial"/>
          <w:sz w:val="22"/>
          <w:szCs w:val="22"/>
        </w:rPr>
        <w:t>e,</w:t>
      </w:r>
    </w:p>
    <w:p w14:paraId="5B39DBCF" w14:textId="07CD2C6E" w:rsidR="00AB218D" w:rsidRDefault="0043561C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prostranství, na kterém je uzavřena platná nájemní smlouva nebo smlouva o výpůjčce s městem Klimkovice,</w:t>
      </w:r>
    </w:p>
    <w:p w14:paraId="6E2F5703" w14:textId="7E5BB11F" w:rsidR="00300F46" w:rsidRPr="0043561C" w:rsidRDefault="0043561C" w:rsidP="0043561C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vlastníkem pozemku, který je touto vyhláškou určen za veřejné prostranství a vlastník tohoto pozemku jej užívá způsobem uvedeným v čl. 2 této vyhlášky pro vlastní potřebu.</w:t>
      </w:r>
    </w:p>
    <w:p w14:paraId="61E342D8" w14:textId="030132A6" w:rsidR="00BF7A3F" w:rsidRDefault="00BF7A3F" w:rsidP="0043561C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66885406" w14:textId="42B57FB4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9F82B3" w14:textId="7332B773" w:rsidR="00097B2C" w:rsidRPr="00D005A8" w:rsidRDefault="00097B2C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4028B8" w14:textId="6C629FF7" w:rsidR="00D005A8" w:rsidRPr="00043425" w:rsidRDefault="002524BF" w:rsidP="00D005A8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241E83">
        <w:rPr>
          <w:rFonts w:ascii="Arial" w:hAnsi="Arial" w:cs="Arial"/>
          <w:sz w:val="22"/>
          <w:szCs w:val="22"/>
        </w:rPr>
        <w:t>obecně závazná vyhláška</w:t>
      </w:r>
      <w:r w:rsidR="00490D81">
        <w:rPr>
          <w:rFonts w:ascii="Arial" w:hAnsi="Arial" w:cs="Arial"/>
          <w:sz w:val="22"/>
          <w:szCs w:val="22"/>
        </w:rPr>
        <w:t xml:space="preserve"> města Klimkovice</w:t>
      </w:r>
      <w:r w:rsidR="00241E83">
        <w:rPr>
          <w:rFonts w:ascii="Arial" w:hAnsi="Arial" w:cs="Arial"/>
          <w:sz w:val="22"/>
          <w:szCs w:val="22"/>
        </w:rPr>
        <w:t xml:space="preserve"> o místním poplatku za užívání veřejného prostranství, ze dne 26. 6. 2024.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3F00E4F9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75D6CCEB" w14:textId="4ABC6E3B" w:rsidR="00357895" w:rsidRDefault="00357895" w:rsidP="00490D81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68146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2570D55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7035C5">
        <w:rPr>
          <w:rFonts w:ascii="Arial" w:hAnsi="Arial" w:cs="Arial"/>
          <w:i/>
          <w:sz w:val="22"/>
          <w:szCs w:val="22"/>
        </w:rPr>
        <w:t xml:space="preserve">      </w:t>
      </w:r>
      <w:r w:rsidR="007035C5">
        <w:rPr>
          <w:rFonts w:ascii="Arial" w:hAnsi="Arial" w:cs="Arial"/>
          <w:i/>
          <w:sz w:val="22"/>
          <w:szCs w:val="22"/>
        </w:rPr>
        <w:tab/>
        <w:t xml:space="preserve">        </w:t>
      </w:r>
    </w:p>
    <w:p w14:paraId="27A5DBDD" w14:textId="2BDDECD6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3F3B0B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46F6016" w:rsidR="00AB59E9" w:rsidRPr="000C2DC4" w:rsidRDefault="00043425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Bc. Jaroslav Varga</w:t>
      </w:r>
      <w:r w:rsidR="007035C5">
        <w:rPr>
          <w:rFonts w:ascii="Arial" w:hAnsi="Arial" w:cs="Arial"/>
          <w:sz w:val="22"/>
          <w:szCs w:val="22"/>
        </w:rPr>
        <w:t xml:space="preserve"> v.</w:t>
      </w:r>
      <w:r w:rsidR="003D5CF6">
        <w:rPr>
          <w:rFonts w:ascii="Arial" w:hAnsi="Arial" w:cs="Arial"/>
          <w:sz w:val="22"/>
          <w:szCs w:val="22"/>
        </w:rPr>
        <w:t xml:space="preserve"> </w:t>
      </w:r>
      <w:r w:rsidR="007035C5">
        <w:rPr>
          <w:rFonts w:ascii="Arial" w:hAnsi="Arial" w:cs="Arial"/>
          <w:sz w:val="22"/>
          <w:szCs w:val="22"/>
        </w:rPr>
        <w:t>r.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 w:rsidR="003F3B0B">
        <w:rPr>
          <w:rFonts w:ascii="Arial" w:hAnsi="Arial" w:cs="Arial"/>
          <w:sz w:val="22"/>
          <w:szCs w:val="22"/>
        </w:rPr>
        <w:t xml:space="preserve">  Ondřej Mika</w:t>
      </w:r>
      <w:r w:rsidR="007035C5">
        <w:rPr>
          <w:rFonts w:ascii="Arial" w:hAnsi="Arial" w:cs="Arial"/>
          <w:sz w:val="22"/>
          <w:szCs w:val="22"/>
        </w:rPr>
        <w:t xml:space="preserve"> v.</w:t>
      </w:r>
      <w:r w:rsidR="003D5CF6">
        <w:rPr>
          <w:rFonts w:ascii="Arial" w:hAnsi="Arial" w:cs="Arial"/>
          <w:sz w:val="22"/>
          <w:szCs w:val="22"/>
        </w:rPr>
        <w:t xml:space="preserve"> </w:t>
      </w:r>
      <w:r w:rsidR="007035C5">
        <w:rPr>
          <w:rFonts w:ascii="Arial" w:hAnsi="Arial" w:cs="Arial"/>
          <w:sz w:val="22"/>
          <w:szCs w:val="22"/>
        </w:rPr>
        <w:t>r.</w:t>
      </w:r>
    </w:p>
    <w:p w14:paraId="4371AB58" w14:textId="2EFE168A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F3B0B"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144D2B41" w:rsidR="00AB218D" w:rsidRDefault="00AB218D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1D55FF7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7B660E1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9965611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3E44691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CE401D6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5F9063F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11DD830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BCE2DA1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37C7DA0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85B90DA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1287E60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93DB3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377DCD2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F6DFE35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239A8D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4759E3A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C920B69" w14:textId="77777777" w:rsidR="003C788F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4BF9F82" w14:textId="77777777" w:rsidR="003C788F" w:rsidRPr="00C83F91" w:rsidRDefault="003C788F" w:rsidP="003C788F">
      <w:pPr>
        <w:rPr>
          <w:rFonts w:ascii="Arial" w:hAnsi="Arial" w:cs="Arial"/>
          <w:b/>
          <w:u w:val="single"/>
        </w:rPr>
      </w:pPr>
      <w:r w:rsidRPr="00C83F91">
        <w:rPr>
          <w:rFonts w:ascii="Arial" w:hAnsi="Arial" w:cs="Arial"/>
          <w:b/>
          <w:u w:val="single"/>
        </w:rPr>
        <w:t>Příloha č. 1 obecně závazné vyhlášky města Klimkovice o místním poplatku za užívání veřejného prostranství</w:t>
      </w:r>
    </w:p>
    <w:p w14:paraId="4656ED0F" w14:textId="77777777" w:rsidR="003C788F" w:rsidRPr="00C83F91" w:rsidRDefault="003C788F" w:rsidP="003C788F">
      <w:pPr>
        <w:rPr>
          <w:rFonts w:ascii="Arial" w:hAnsi="Arial" w:cs="Arial"/>
        </w:rPr>
      </w:pPr>
    </w:p>
    <w:p w14:paraId="0FD12015" w14:textId="77777777" w:rsidR="003C788F" w:rsidRPr="00C83F91" w:rsidRDefault="003C788F" w:rsidP="003C788F">
      <w:pPr>
        <w:rPr>
          <w:rFonts w:ascii="Arial" w:hAnsi="Arial" w:cs="Arial"/>
          <w:b/>
        </w:rPr>
      </w:pPr>
      <w:r w:rsidRPr="00C83F91">
        <w:rPr>
          <w:rFonts w:ascii="Arial" w:hAnsi="Arial" w:cs="Arial"/>
          <w:b/>
        </w:rPr>
        <w:t>1. NÁMĚSTÍ</w:t>
      </w:r>
    </w:p>
    <w:p w14:paraId="64C891FB" w14:textId="77777777" w:rsidR="003C788F" w:rsidRPr="00C83F91" w:rsidRDefault="003C788F" w:rsidP="003C788F">
      <w:pPr>
        <w:rPr>
          <w:rFonts w:ascii="Arial" w:hAnsi="Arial" w:cs="Arial"/>
        </w:rPr>
      </w:pPr>
      <w:r w:rsidRPr="00C83F91">
        <w:rPr>
          <w:rFonts w:ascii="Arial" w:hAnsi="Arial" w:cs="Arial"/>
        </w:rPr>
        <w:t>- náměstí v Klimkovicích (</w:t>
      </w:r>
      <w:proofErr w:type="spellStart"/>
      <w:r w:rsidRPr="00C83F91">
        <w:rPr>
          <w:rFonts w:ascii="Arial" w:hAnsi="Arial" w:cs="Arial"/>
        </w:rPr>
        <w:t>parc</w:t>
      </w:r>
      <w:proofErr w:type="spellEnd"/>
      <w:r w:rsidRPr="00C83F91">
        <w:rPr>
          <w:rFonts w:ascii="Arial" w:hAnsi="Arial" w:cs="Arial"/>
        </w:rPr>
        <w:t xml:space="preserve">. č. 561/1 </w:t>
      </w:r>
      <w:proofErr w:type="spellStart"/>
      <w:r w:rsidRPr="00C83F91">
        <w:rPr>
          <w:rFonts w:ascii="Arial" w:hAnsi="Arial" w:cs="Arial"/>
        </w:rPr>
        <w:t>k.ú</w:t>
      </w:r>
      <w:proofErr w:type="spellEnd"/>
      <w:r w:rsidRPr="00C83F91">
        <w:rPr>
          <w:rFonts w:ascii="Arial" w:hAnsi="Arial" w:cs="Arial"/>
        </w:rPr>
        <w:t>. Klimkovice)</w:t>
      </w:r>
    </w:p>
    <w:p w14:paraId="7D95278A" w14:textId="77777777" w:rsidR="003C788F" w:rsidRPr="00C83F91" w:rsidRDefault="003C788F" w:rsidP="003C788F">
      <w:pPr>
        <w:rPr>
          <w:rFonts w:ascii="Arial" w:hAnsi="Arial" w:cs="Arial"/>
        </w:rPr>
      </w:pPr>
    </w:p>
    <w:p w14:paraId="5E1AE5C6" w14:textId="77777777" w:rsidR="003C788F" w:rsidRPr="00C83F91" w:rsidRDefault="003C788F" w:rsidP="003C788F">
      <w:pPr>
        <w:rPr>
          <w:rFonts w:ascii="Arial" w:hAnsi="Arial" w:cs="Arial"/>
        </w:rPr>
      </w:pPr>
      <w:r w:rsidRPr="00C83F91">
        <w:rPr>
          <w:rFonts w:ascii="Arial" w:hAnsi="Arial" w:cs="Arial"/>
          <w:b/>
        </w:rPr>
        <w:t>2. MÍSTA PRO PRODEJ A POSKYTOVÁNÍ SLUŽEB NA VEŘEJNÉM PROSTRANSTVÍ</w:t>
      </w:r>
      <w:r w:rsidRPr="00C83F91">
        <w:rPr>
          <w:rFonts w:ascii="Arial" w:hAnsi="Arial" w:cs="Arial"/>
        </w:rPr>
        <w:t>, tj. prostranství, prostory, chodníky k nim přilehlé:</w:t>
      </w:r>
    </w:p>
    <w:p w14:paraId="48EDB485" w14:textId="77777777" w:rsidR="003C788F" w:rsidRPr="00C83F91" w:rsidRDefault="003C788F" w:rsidP="003C788F">
      <w:pPr>
        <w:rPr>
          <w:rFonts w:ascii="Arial" w:hAnsi="Arial" w:cs="Arial"/>
        </w:rPr>
      </w:pPr>
      <w:r w:rsidRPr="00C83F91">
        <w:rPr>
          <w:rFonts w:ascii="Arial" w:hAnsi="Arial" w:cs="Arial"/>
        </w:rPr>
        <w:t>- u Maloobchodní sítě Hruška (</w:t>
      </w:r>
      <w:proofErr w:type="spellStart"/>
      <w:r w:rsidRPr="00C83F91">
        <w:rPr>
          <w:rFonts w:ascii="Arial" w:hAnsi="Arial" w:cs="Arial"/>
        </w:rPr>
        <w:t>parc</w:t>
      </w:r>
      <w:proofErr w:type="spellEnd"/>
      <w:r w:rsidRPr="00C83F91">
        <w:rPr>
          <w:rFonts w:ascii="Arial" w:hAnsi="Arial" w:cs="Arial"/>
        </w:rPr>
        <w:t xml:space="preserve">. č. 8/1 </w:t>
      </w:r>
      <w:proofErr w:type="spellStart"/>
      <w:r w:rsidRPr="00C83F91">
        <w:rPr>
          <w:rFonts w:ascii="Arial" w:hAnsi="Arial" w:cs="Arial"/>
        </w:rPr>
        <w:t>k.ú</w:t>
      </w:r>
      <w:proofErr w:type="spellEnd"/>
      <w:r w:rsidRPr="00C83F91">
        <w:rPr>
          <w:rFonts w:ascii="Arial" w:hAnsi="Arial" w:cs="Arial"/>
        </w:rPr>
        <w:t xml:space="preserve">. Klimkovice) </w:t>
      </w:r>
    </w:p>
    <w:p w14:paraId="6233391E" w14:textId="77777777" w:rsidR="003C788F" w:rsidRPr="00C83F91" w:rsidRDefault="003C788F" w:rsidP="003C788F">
      <w:pPr>
        <w:rPr>
          <w:rFonts w:ascii="Arial" w:hAnsi="Arial" w:cs="Arial"/>
        </w:rPr>
      </w:pPr>
      <w:r w:rsidRPr="00C83F91">
        <w:rPr>
          <w:rFonts w:ascii="Arial" w:hAnsi="Arial" w:cs="Arial"/>
        </w:rPr>
        <w:t>- u stavby občanského vybavení č. p. 21 (</w:t>
      </w:r>
      <w:proofErr w:type="spellStart"/>
      <w:r w:rsidRPr="00C83F91">
        <w:rPr>
          <w:rFonts w:ascii="Arial" w:hAnsi="Arial" w:cs="Arial"/>
        </w:rPr>
        <w:t>parc</w:t>
      </w:r>
      <w:proofErr w:type="spellEnd"/>
      <w:r w:rsidRPr="00C83F91">
        <w:rPr>
          <w:rFonts w:ascii="Arial" w:hAnsi="Arial" w:cs="Arial"/>
        </w:rPr>
        <w:t xml:space="preserve">. č. 404/1) </w:t>
      </w:r>
    </w:p>
    <w:p w14:paraId="622315D4" w14:textId="77777777" w:rsidR="003C788F" w:rsidRPr="00C83F91" w:rsidRDefault="003C788F" w:rsidP="003C788F">
      <w:pPr>
        <w:rPr>
          <w:rFonts w:ascii="Arial" w:hAnsi="Arial" w:cs="Arial"/>
        </w:rPr>
      </w:pPr>
      <w:r w:rsidRPr="00C83F91">
        <w:rPr>
          <w:rFonts w:ascii="Arial" w:hAnsi="Arial" w:cs="Arial"/>
        </w:rPr>
        <w:t>- u zámku (</w:t>
      </w:r>
      <w:proofErr w:type="spellStart"/>
      <w:r w:rsidRPr="00C83F91">
        <w:rPr>
          <w:rFonts w:ascii="Arial" w:hAnsi="Arial" w:cs="Arial"/>
        </w:rPr>
        <w:t>parc</w:t>
      </w:r>
      <w:proofErr w:type="spellEnd"/>
      <w:r w:rsidRPr="00C83F91">
        <w:rPr>
          <w:rFonts w:ascii="Arial" w:hAnsi="Arial" w:cs="Arial"/>
        </w:rPr>
        <w:t xml:space="preserve">. č. 6/2, 5 </w:t>
      </w:r>
      <w:proofErr w:type="spellStart"/>
      <w:r w:rsidRPr="00C83F91">
        <w:rPr>
          <w:rFonts w:ascii="Arial" w:hAnsi="Arial" w:cs="Arial"/>
        </w:rPr>
        <w:t>k.ú</w:t>
      </w:r>
      <w:proofErr w:type="spellEnd"/>
      <w:r w:rsidRPr="00C83F91">
        <w:rPr>
          <w:rFonts w:ascii="Arial" w:hAnsi="Arial" w:cs="Arial"/>
        </w:rPr>
        <w:t>. Klimkovice)</w:t>
      </w:r>
    </w:p>
    <w:p w14:paraId="77094F5D" w14:textId="77777777" w:rsidR="003C788F" w:rsidRPr="00C83F91" w:rsidRDefault="003C788F" w:rsidP="003C788F">
      <w:pPr>
        <w:rPr>
          <w:rFonts w:ascii="Arial" w:hAnsi="Arial" w:cs="Arial"/>
        </w:rPr>
      </w:pPr>
      <w:r w:rsidRPr="00C83F91">
        <w:rPr>
          <w:rFonts w:ascii="Arial" w:hAnsi="Arial" w:cs="Arial"/>
        </w:rPr>
        <w:t>- u kostela sv. Kateřiny (</w:t>
      </w:r>
      <w:proofErr w:type="spellStart"/>
      <w:r w:rsidRPr="00C83F91">
        <w:rPr>
          <w:rFonts w:ascii="Arial" w:hAnsi="Arial" w:cs="Arial"/>
        </w:rPr>
        <w:t>parc</w:t>
      </w:r>
      <w:proofErr w:type="spellEnd"/>
      <w:r w:rsidRPr="00C83F91">
        <w:rPr>
          <w:rFonts w:ascii="Arial" w:hAnsi="Arial" w:cs="Arial"/>
        </w:rPr>
        <w:t xml:space="preserve">. č. 561/1 </w:t>
      </w:r>
      <w:proofErr w:type="spellStart"/>
      <w:r w:rsidRPr="00C83F91">
        <w:rPr>
          <w:rFonts w:ascii="Arial" w:hAnsi="Arial" w:cs="Arial"/>
        </w:rPr>
        <w:t>k.ú</w:t>
      </w:r>
      <w:proofErr w:type="spellEnd"/>
      <w:r w:rsidRPr="00C83F91">
        <w:rPr>
          <w:rFonts w:ascii="Arial" w:hAnsi="Arial" w:cs="Arial"/>
        </w:rPr>
        <w:t>. Klimkovice)</w:t>
      </w:r>
    </w:p>
    <w:p w14:paraId="3B368B76" w14:textId="77777777" w:rsidR="003C788F" w:rsidRPr="00C83F91" w:rsidRDefault="003C788F" w:rsidP="003C788F">
      <w:pPr>
        <w:rPr>
          <w:rFonts w:ascii="Arial" w:hAnsi="Arial" w:cs="Arial"/>
        </w:rPr>
      </w:pPr>
      <w:r w:rsidRPr="00C83F91">
        <w:rPr>
          <w:rFonts w:ascii="Arial" w:hAnsi="Arial" w:cs="Arial"/>
        </w:rPr>
        <w:t>- u zdravotního střediska č. p. 19 (</w:t>
      </w:r>
      <w:proofErr w:type="spellStart"/>
      <w:r w:rsidRPr="00C83F91">
        <w:rPr>
          <w:rFonts w:ascii="Arial" w:hAnsi="Arial" w:cs="Arial"/>
        </w:rPr>
        <w:t>parc</w:t>
      </w:r>
      <w:proofErr w:type="spellEnd"/>
      <w:r w:rsidRPr="00C83F91">
        <w:rPr>
          <w:rFonts w:ascii="Arial" w:hAnsi="Arial" w:cs="Arial"/>
        </w:rPr>
        <w:t>. č. 422/5, 422/7, 422/8, 422/9, 422/1, 422/4, 422/3, 404/2</w:t>
      </w:r>
    </w:p>
    <w:p w14:paraId="3690FE44" w14:textId="77777777" w:rsidR="003C788F" w:rsidRPr="00C83F91" w:rsidRDefault="003C788F" w:rsidP="003C788F">
      <w:pPr>
        <w:rPr>
          <w:rFonts w:ascii="Arial" w:hAnsi="Arial" w:cs="Arial"/>
        </w:rPr>
      </w:pPr>
      <w:r w:rsidRPr="00C83F91">
        <w:rPr>
          <w:rFonts w:ascii="Arial" w:hAnsi="Arial" w:cs="Arial"/>
        </w:rPr>
        <w:t xml:space="preserve">- u stavby občanského vybavení č. p. 4 </w:t>
      </w:r>
      <w:proofErr w:type="gramStart"/>
      <w:r w:rsidRPr="00C83F91">
        <w:rPr>
          <w:rFonts w:ascii="Arial" w:hAnsi="Arial" w:cs="Arial"/>
        </w:rPr>
        <w:t xml:space="preserve">( </w:t>
      </w:r>
      <w:proofErr w:type="spellStart"/>
      <w:r w:rsidRPr="00C83F91">
        <w:rPr>
          <w:rFonts w:ascii="Arial" w:hAnsi="Arial" w:cs="Arial"/>
        </w:rPr>
        <w:t>parc</w:t>
      </w:r>
      <w:proofErr w:type="spellEnd"/>
      <w:r w:rsidRPr="00C83F91">
        <w:rPr>
          <w:rFonts w:ascii="Arial" w:hAnsi="Arial" w:cs="Arial"/>
        </w:rPr>
        <w:t>.</w:t>
      </w:r>
      <w:proofErr w:type="gramEnd"/>
      <w:r w:rsidRPr="00C83F91">
        <w:rPr>
          <w:rFonts w:ascii="Arial" w:hAnsi="Arial" w:cs="Arial"/>
        </w:rPr>
        <w:t xml:space="preserve"> č. 1376/3)</w:t>
      </w:r>
    </w:p>
    <w:p w14:paraId="73774CB8" w14:textId="77777777" w:rsidR="003C788F" w:rsidRPr="00C83F91" w:rsidRDefault="003C788F" w:rsidP="003C788F">
      <w:pPr>
        <w:rPr>
          <w:rFonts w:ascii="Arial" w:hAnsi="Arial" w:cs="Arial"/>
          <w:b/>
        </w:rPr>
      </w:pPr>
    </w:p>
    <w:p w14:paraId="42C71CC4" w14:textId="77777777" w:rsidR="003C788F" w:rsidRPr="00C83F91" w:rsidRDefault="003C788F" w:rsidP="003C788F">
      <w:pPr>
        <w:rPr>
          <w:rFonts w:ascii="Arial" w:hAnsi="Arial" w:cs="Arial"/>
        </w:rPr>
      </w:pPr>
      <w:r w:rsidRPr="00C83F91">
        <w:rPr>
          <w:rFonts w:ascii="Arial" w:hAnsi="Arial" w:cs="Arial"/>
          <w:b/>
        </w:rPr>
        <w:t>3. POZEMNÍ KOMUNIKACE</w:t>
      </w:r>
      <w:r w:rsidRPr="00C83F91">
        <w:rPr>
          <w:rFonts w:ascii="Arial" w:hAnsi="Arial" w:cs="Arial"/>
        </w:rPr>
        <w:t>, tj. silnice a místní komunikace, veřejná zeleň a chodníky k nim přilehlé:</w:t>
      </w:r>
    </w:p>
    <w:p w14:paraId="6BA750A9" w14:textId="77777777" w:rsidR="003C788F" w:rsidRPr="00C83F91" w:rsidRDefault="003C788F" w:rsidP="003C788F">
      <w:pPr>
        <w:rPr>
          <w:rFonts w:ascii="Arial" w:hAnsi="Arial" w:cs="Arial"/>
        </w:rPr>
      </w:pPr>
      <w:r w:rsidRPr="00C83F91">
        <w:rPr>
          <w:rFonts w:ascii="Arial" w:hAnsi="Arial" w:cs="Arial"/>
        </w:rPr>
        <w:t>- ulice: Lidická, Požárnická, Hradilova, Komenského, Křížkovského</w:t>
      </w:r>
    </w:p>
    <w:p w14:paraId="0CCE4BD9" w14:textId="77777777" w:rsidR="003C788F" w:rsidRPr="00C83F91" w:rsidRDefault="003C788F" w:rsidP="003C788F">
      <w:pPr>
        <w:rPr>
          <w:rFonts w:ascii="Arial" w:hAnsi="Arial" w:cs="Arial"/>
          <w:b/>
        </w:rPr>
      </w:pPr>
    </w:p>
    <w:p w14:paraId="61407F66" w14:textId="77777777" w:rsidR="003C788F" w:rsidRPr="00C83F91" w:rsidRDefault="003C788F" w:rsidP="003C788F">
      <w:pPr>
        <w:rPr>
          <w:rFonts w:ascii="Arial" w:hAnsi="Arial" w:cs="Arial"/>
          <w:b/>
        </w:rPr>
      </w:pPr>
      <w:r w:rsidRPr="00C83F91">
        <w:rPr>
          <w:rFonts w:ascii="Arial" w:hAnsi="Arial" w:cs="Arial"/>
          <w:b/>
        </w:rPr>
        <w:t>4. VEŘEJNÁ ZELEŇ</w:t>
      </w:r>
    </w:p>
    <w:p w14:paraId="02645568" w14:textId="77777777" w:rsidR="003C788F" w:rsidRPr="00C83F91" w:rsidRDefault="003C788F" w:rsidP="003C788F">
      <w:pPr>
        <w:rPr>
          <w:rFonts w:ascii="Arial" w:hAnsi="Arial" w:cs="Arial"/>
        </w:rPr>
      </w:pPr>
      <w:r w:rsidRPr="00C83F91">
        <w:rPr>
          <w:rFonts w:ascii="Arial" w:hAnsi="Arial" w:cs="Arial"/>
        </w:rPr>
        <w:t>- Park P. Bezruče (</w:t>
      </w:r>
      <w:proofErr w:type="spellStart"/>
      <w:r w:rsidRPr="00C83F91">
        <w:rPr>
          <w:rFonts w:ascii="Arial" w:hAnsi="Arial" w:cs="Arial"/>
        </w:rPr>
        <w:t>parc</w:t>
      </w:r>
      <w:proofErr w:type="spellEnd"/>
      <w:r w:rsidRPr="00C83F91">
        <w:rPr>
          <w:rFonts w:ascii="Arial" w:hAnsi="Arial" w:cs="Arial"/>
        </w:rPr>
        <w:t xml:space="preserve">. č. 6/1 </w:t>
      </w:r>
      <w:proofErr w:type="spellStart"/>
      <w:r w:rsidRPr="00C83F91">
        <w:rPr>
          <w:rFonts w:ascii="Arial" w:hAnsi="Arial" w:cs="Arial"/>
        </w:rPr>
        <w:t>k.ú</w:t>
      </w:r>
      <w:proofErr w:type="spellEnd"/>
      <w:r w:rsidRPr="00C83F91">
        <w:rPr>
          <w:rFonts w:ascii="Arial" w:hAnsi="Arial" w:cs="Arial"/>
        </w:rPr>
        <w:t>. Klimkovice)</w:t>
      </w:r>
    </w:p>
    <w:p w14:paraId="5E2D3917" w14:textId="77777777" w:rsidR="003C788F" w:rsidRPr="00C83F91" w:rsidRDefault="003C788F" w:rsidP="003C788F">
      <w:pPr>
        <w:rPr>
          <w:rFonts w:ascii="Arial" w:hAnsi="Arial" w:cs="Arial"/>
        </w:rPr>
      </w:pPr>
      <w:r w:rsidRPr="00C83F91">
        <w:rPr>
          <w:rFonts w:ascii="Arial" w:hAnsi="Arial" w:cs="Arial"/>
        </w:rPr>
        <w:t>- „Házenkářské hřiště“ (</w:t>
      </w:r>
      <w:proofErr w:type="spellStart"/>
      <w:r w:rsidRPr="00C83F91">
        <w:rPr>
          <w:rFonts w:ascii="Arial" w:hAnsi="Arial" w:cs="Arial"/>
        </w:rPr>
        <w:t>parc</w:t>
      </w:r>
      <w:proofErr w:type="spellEnd"/>
      <w:r w:rsidRPr="00C83F91">
        <w:rPr>
          <w:rFonts w:ascii="Arial" w:hAnsi="Arial" w:cs="Arial"/>
        </w:rPr>
        <w:t xml:space="preserve">. č. 193/1 </w:t>
      </w:r>
      <w:proofErr w:type="spellStart"/>
      <w:r w:rsidRPr="00C83F91">
        <w:rPr>
          <w:rFonts w:ascii="Arial" w:hAnsi="Arial" w:cs="Arial"/>
        </w:rPr>
        <w:t>k.ú</w:t>
      </w:r>
      <w:proofErr w:type="spellEnd"/>
      <w:r w:rsidRPr="00C83F91">
        <w:rPr>
          <w:rFonts w:ascii="Arial" w:hAnsi="Arial" w:cs="Arial"/>
        </w:rPr>
        <w:t>. Klimkovice)</w:t>
      </w:r>
    </w:p>
    <w:p w14:paraId="07F41E0C" w14:textId="77777777" w:rsidR="003C788F" w:rsidRPr="00C83F91" w:rsidRDefault="003C788F" w:rsidP="003C788F">
      <w:pPr>
        <w:rPr>
          <w:rFonts w:ascii="Arial" w:hAnsi="Arial" w:cs="Arial"/>
        </w:rPr>
      </w:pPr>
      <w:r w:rsidRPr="00C83F91">
        <w:rPr>
          <w:rFonts w:ascii="Arial" w:hAnsi="Arial" w:cs="Arial"/>
        </w:rPr>
        <w:t>- veřejné prostranství okolo rybníků v parku P. Bezruče (</w:t>
      </w:r>
      <w:proofErr w:type="spellStart"/>
      <w:r w:rsidRPr="00C83F91">
        <w:rPr>
          <w:rFonts w:ascii="Arial" w:hAnsi="Arial" w:cs="Arial"/>
        </w:rPr>
        <w:t>parc</w:t>
      </w:r>
      <w:proofErr w:type="spellEnd"/>
      <w:r w:rsidRPr="00C83F91">
        <w:rPr>
          <w:rFonts w:ascii="Arial" w:hAnsi="Arial" w:cs="Arial"/>
        </w:rPr>
        <w:t xml:space="preserve">. č. 12, 14, 7 </w:t>
      </w:r>
      <w:proofErr w:type="spellStart"/>
      <w:r w:rsidRPr="00C83F91">
        <w:rPr>
          <w:rFonts w:ascii="Arial" w:hAnsi="Arial" w:cs="Arial"/>
        </w:rPr>
        <w:t>k.ú</w:t>
      </w:r>
      <w:proofErr w:type="spellEnd"/>
      <w:r w:rsidRPr="00C83F91">
        <w:rPr>
          <w:rFonts w:ascii="Arial" w:hAnsi="Arial" w:cs="Arial"/>
        </w:rPr>
        <w:t>. Klimkovice)</w:t>
      </w:r>
    </w:p>
    <w:p w14:paraId="49D82992" w14:textId="77777777" w:rsidR="003C788F" w:rsidRPr="00043425" w:rsidRDefault="003C788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3C788F" w:rsidRPr="00043425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1B92" w14:textId="77777777" w:rsidR="008D455A" w:rsidRDefault="008D455A">
      <w:r>
        <w:separator/>
      </w:r>
    </w:p>
  </w:endnote>
  <w:endnote w:type="continuationSeparator" w:id="0">
    <w:p w14:paraId="5B177DF2" w14:textId="77777777" w:rsidR="008D455A" w:rsidRDefault="008D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1AF3E806" w:rsidR="003F3B0B" w:rsidRPr="00480128" w:rsidRDefault="003F3B0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D78FE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3F3B0B" w:rsidRDefault="003F3B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FC7F" w14:textId="77777777" w:rsidR="008D455A" w:rsidRDefault="008D455A">
      <w:r>
        <w:separator/>
      </w:r>
    </w:p>
  </w:footnote>
  <w:footnote w:type="continuationSeparator" w:id="0">
    <w:p w14:paraId="287759AE" w14:textId="77777777" w:rsidR="008D455A" w:rsidRDefault="008D455A">
      <w:r>
        <w:continuationSeparator/>
      </w:r>
    </w:p>
  </w:footnote>
  <w:footnote w:id="1">
    <w:p w14:paraId="0964EE54" w14:textId="77777777" w:rsidR="003F3B0B" w:rsidRPr="00D005A8" w:rsidRDefault="003F3B0B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017D1FA" w14:textId="77777777" w:rsidR="003F3B0B" w:rsidRPr="00D005A8" w:rsidRDefault="003F3B0B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3F3B0B" w:rsidRPr="002D0857" w:rsidRDefault="003F3B0B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3F3B0B" w:rsidRPr="00D005A8" w:rsidRDefault="003F3B0B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3F3B0B" w:rsidRDefault="003F3B0B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3F3B0B" w:rsidRPr="007253FE" w:rsidRDefault="003F3B0B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3F3B0B" w:rsidRPr="0054071F" w:rsidRDefault="003F3B0B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77EADD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3243544">
    <w:abstractNumId w:val="8"/>
  </w:num>
  <w:num w:numId="2" w16cid:durableId="866337999">
    <w:abstractNumId w:val="26"/>
  </w:num>
  <w:num w:numId="3" w16cid:durableId="845359726">
    <w:abstractNumId w:val="6"/>
  </w:num>
  <w:num w:numId="4" w16cid:durableId="1602713669">
    <w:abstractNumId w:val="17"/>
  </w:num>
  <w:num w:numId="5" w16cid:durableId="675500275">
    <w:abstractNumId w:val="16"/>
  </w:num>
  <w:num w:numId="6" w16cid:durableId="687173450">
    <w:abstractNumId w:val="20"/>
  </w:num>
  <w:num w:numId="7" w16cid:durableId="542450235">
    <w:abstractNumId w:val="10"/>
  </w:num>
  <w:num w:numId="8" w16cid:durableId="888689056">
    <w:abstractNumId w:val="3"/>
  </w:num>
  <w:num w:numId="9" w16cid:durableId="1342858544">
    <w:abstractNumId w:val="19"/>
  </w:num>
  <w:num w:numId="10" w16cid:durableId="1160583765">
    <w:abstractNumId w:val="9"/>
  </w:num>
  <w:num w:numId="11" w16cid:durableId="772939692">
    <w:abstractNumId w:val="21"/>
  </w:num>
  <w:num w:numId="12" w16cid:durableId="1741174465">
    <w:abstractNumId w:val="11"/>
  </w:num>
  <w:num w:numId="13" w16cid:durableId="2041588020">
    <w:abstractNumId w:val="7"/>
  </w:num>
  <w:num w:numId="14" w16cid:durableId="810172162">
    <w:abstractNumId w:val="4"/>
  </w:num>
  <w:num w:numId="15" w16cid:durableId="2004158742">
    <w:abstractNumId w:val="1"/>
  </w:num>
  <w:num w:numId="16" w16cid:durableId="326514850">
    <w:abstractNumId w:val="23"/>
  </w:num>
  <w:num w:numId="17" w16cid:durableId="122506614">
    <w:abstractNumId w:val="13"/>
  </w:num>
  <w:num w:numId="18" w16cid:durableId="474027706">
    <w:abstractNumId w:val="0"/>
  </w:num>
  <w:num w:numId="19" w16cid:durableId="515078562">
    <w:abstractNumId w:val="25"/>
  </w:num>
  <w:num w:numId="20" w16cid:durableId="456338083">
    <w:abstractNumId w:val="18"/>
  </w:num>
  <w:num w:numId="21" w16cid:durableId="579755671">
    <w:abstractNumId w:val="14"/>
  </w:num>
  <w:num w:numId="22" w16cid:durableId="177066389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3813175">
    <w:abstractNumId w:val="2"/>
  </w:num>
  <w:num w:numId="24" w16cid:durableId="93140017">
    <w:abstractNumId w:val="5"/>
  </w:num>
  <w:num w:numId="25" w16cid:durableId="8161854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8462883">
    <w:abstractNumId w:val="22"/>
  </w:num>
  <w:num w:numId="27" w16cid:durableId="774056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527090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3107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02917"/>
    <w:rsid w:val="00012545"/>
    <w:rsid w:val="0001759A"/>
    <w:rsid w:val="00017B67"/>
    <w:rsid w:val="00025823"/>
    <w:rsid w:val="00032EB2"/>
    <w:rsid w:val="00043425"/>
    <w:rsid w:val="000452AD"/>
    <w:rsid w:val="00055664"/>
    <w:rsid w:val="00057BD4"/>
    <w:rsid w:val="000651FD"/>
    <w:rsid w:val="00070399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65716"/>
    <w:rsid w:val="001859A3"/>
    <w:rsid w:val="00190C18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1E83"/>
    <w:rsid w:val="00244A6D"/>
    <w:rsid w:val="00245566"/>
    <w:rsid w:val="00246E09"/>
    <w:rsid w:val="0024722A"/>
    <w:rsid w:val="002524BF"/>
    <w:rsid w:val="00261607"/>
    <w:rsid w:val="00264C98"/>
    <w:rsid w:val="0028016D"/>
    <w:rsid w:val="00283002"/>
    <w:rsid w:val="00291A55"/>
    <w:rsid w:val="002A3806"/>
    <w:rsid w:val="002B0C2C"/>
    <w:rsid w:val="002B4293"/>
    <w:rsid w:val="002C70E0"/>
    <w:rsid w:val="002C7F09"/>
    <w:rsid w:val="002D0857"/>
    <w:rsid w:val="002D6C62"/>
    <w:rsid w:val="002E0717"/>
    <w:rsid w:val="002E727F"/>
    <w:rsid w:val="002E7A23"/>
    <w:rsid w:val="00300F46"/>
    <w:rsid w:val="0032069D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3B79"/>
    <w:rsid w:val="003C5034"/>
    <w:rsid w:val="003C788F"/>
    <w:rsid w:val="003D5CF6"/>
    <w:rsid w:val="003E128F"/>
    <w:rsid w:val="003E4684"/>
    <w:rsid w:val="003E4D06"/>
    <w:rsid w:val="003E69F4"/>
    <w:rsid w:val="003E7DFB"/>
    <w:rsid w:val="003F165C"/>
    <w:rsid w:val="003F1F0F"/>
    <w:rsid w:val="003F3B0B"/>
    <w:rsid w:val="003F3FB5"/>
    <w:rsid w:val="003F76A8"/>
    <w:rsid w:val="00403839"/>
    <w:rsid w:val="00405B16"/>
    <w:rsid w:val="0040771F"/>
    <w:rsid w:val="004100B7"/>
    <w:rsid w:val="00410E15"/>
    <w:rsid w:val="00411E1F"/>
    <w:rsid w:val="00422430"/>
    <w:rsid w:val="00434960"/>
    <w:rsid w:val="0043561C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6DDD"/>
    <w:rsid w:val="00490D81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D78FE"/>
    <w:rsid w:val="004E090F"/>
    <w:rsid w:val="004E6313"/>
    <w:rsid w:val="004F2551"/>
    <w:rsid w:val="004F7518"/>
    <w:rsid w:val="005113E8"/>
    <w:rsid w:val="00514BC5"/>
    <w:rsid w:val="00516744"/>
    <w:rsid w:val="00522BBB"/>
    <w:rsid w:val="005325F5"/>
    <w:rsid w:val="0054071F"/>
    <w:rsid w:val="005563CE"/>
    <w:rsid w:val="00556B60"/>
    <w:rsid w:val="00557C62"/>
    <w:rsid w:val="00560DD0"/>
    <w:rsid w:val="005806EF"/>
    <w:rsid w:val="00581061"/>
    <w:rsid w:val="005850B5"/>
    <w:rsid w:val="00585F3C"/>
    <w:rsid w:val="005A0C5C"/>
    <w:rsid w:val="005B350C"/>
    <w:rsid w:val="005B5336"/>
    <w:rsid w:val="005C1452"/>
    <w:rsid w:val="005C3312"/>
    <w:rsid w:val="005C5540"/>
    <w:rsid w:val="005C5A97"/>
    <w:rsid w:val="005D3BAF"/>
    <w:rsid w:val="005D5ACA"/>
    <w:rsid w:val="005E4F68"/>
    <w:rsid w:val="005E69E0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6E0D"/>
    <w:rsid w:val="00671064"/>
    <w:rsid w:val="00681466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1CC8"/>
    <w:rsid w:val="007035C5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99D"/>
    <w:rsid w:val="00795D14"/>
    <w:rsid w:val="007A3595"/>
    <w:rsid w:val="007B14EE"/>
    <w:rsid w:val="007B2C89"/>
    <w:rsid w:val="007B4D7E"/>
    <w:rsid w:val="007C59B2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0F18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08F0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455A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6798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45A1F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2DF7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026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D6DEE"/>
    <w:rsid w:val="00DE3BF3"/>
    <w:rsid w:val="00DF3E59"/>
    <w:rsid w:val="00E23940"/>
    <w:rsid w:val="00E37B7C"/>
    <w:rsid w:val="00E50293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B709D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C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B8D3-E689-46E6-8834-867B755C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981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Ladislav Vasek</cp:lastModifiedBy>
  <cp:revision>4</cp:revision>
  <cp:lastPrinted>2024-06-06T11:46:00Z</cp:lastPrinted>
  <dcterms:created xsi:type="dcterms:W3CDTF">2025-04-15T12:40:00Z</dcterms:created>
  <dcterms:modified xsi:type="dcterms:W3CDTF">2025-06-06T08:39:00Z</dcterms:modified>
</cp:coreProperties>
</file>