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40"/>
          <w:szCs w:val="40"/>
        </w:rPr>
      </w:pPr>
      <w:r>
        <w:rPr>
          <w:b/>
          <w:sz w:val="40"/>
          <w:szCs w:val="40"/>
        </w:rPr>
        <w:t>O B E C   M A L É   Ž E R N O S E K Y</w:t>
      </w:r>
    </w:p>
    <w:p>
      <w:pPr>
        <w:pStyle w:val="Normal"/>
        <w:jc w:val="center"/>
        <w:rPr>
          <w:b/>
          <w:b/>
          <w:bCs/>
        </w:rPr>
      </w:pPr>
      <w:r>
        <w:rPr>
          <w:b/>
          <w:bCs/>
        </w:rPr>
      </w:r>
    </w:p>
    <w:p>
      <w:pPr>
        <w:pStyle w:val="Normal"/>
        <w:jc w:val="center"/>
        <w:rPr>
          <w:b/>
          <w:b/>
          <w:bCs/>
          <w:sz w:val="32"/>
        </w:rPr>
      </w:pPr>
      <w:r>
        <w:rPr>
          <w:b/>
          <w:bCs/>
          <w:sz w:val="32"/>
        </w:rPr>
        <w:t>ZASTUPITELSTVO OBCE MALÉ ŽERNOSEKY</w:t>
      </w:r>
    </w:p>
    <w:p>
      <w:pPr>
        <w:pStyle w:val="Normal"/>
        <w:jc w:val="center"/>
        <w:rPr>
          <w:b/>
          <w:b/>
          <w:bCs/>
        </w:rPr>
      </w:pPr>
      <w:r>
        <w:rPr>
          <w:b/>
          <w:bCs/>
        </w:rPr>
      </w:r>
    </w:p>
    <w:p>
      <w:pPr>
        <w:pStyle w:val="Normal"/>
        <w:jc w:val="center"/>
        <w:rPr>
          <w:b/>
          <w:b/>
          <w:bCs/>
          <w:sz w:val="32"/>
          <w:szCs w:val="32"/>
        </w:rPr>
      </w:pPr>
      <w:r>
        <w:rPr>
          <w:b/>
          <w:bCs/>
          <w:sz w:val="32"/>
          <w:szCs w:val="32"/>
        </w:rPr>
        <w:t>Obecně závazná vyhláška,</w:t>
      </w:r>
    </w:p>
    <w:p>
      <w:pPr>
        <w:pStyle w:val="Normal"/>
        <w:jc w:val="center"/>
        <w:rPr>
          <w:b/>
          <w:b/>
          <w:bCs/>
        </w:rPr>
      </w:pPr>
      <w:r>
        <w:rPr>
          <w:b/>
          <w:bCs/>
        </w:rPr>
      </w:r>
    </w:p>
    <w:p>
      <w:pPr>
        <w:pStyle w:val="Normal"/>
        <w:jc w:val="center"/>
        <w:rPr>
          <w:b/>
          <w:b/>
          <w:color w:val="000000"/>
          <w:sz w:val="28"/>
          <w:szCs w:val="26"/>
        </w:rPr>
      </w:pPr>
      <w:r>
        <w:rPr>
          <w:b/>
          <w:color w:val="000000"/>
          <w:sz w:val="28"/>
          <w:szCs w:val="26"/>
        </w:rPr>
        <w:t>o místním poplatku z pobytu</w:t>
      </w:r>
    </w:p>
    <w:p>
      <w:pPr>
        <w:pStyle w:val="Normal"/>
        <w:tabs>
          <w:tab w:val="clear" w:pos="709"/>
          <w:tab w:val="left" w:pos="5130" w:leader="none"/>
        </w:tabs>
        <w:rPr>
          <w:b/>
          <w:b/>
        </w:rPr>
      </w:pPr>
      <w:r>
        <w:rPr>
          <w:b/>
        </w:rPr>
      </w:r>
    </w:p>
    <w:p>
      <w:pPr>
        <w:pStyle w:val="Odsazentlatextu"/>
        <w:ind w:left="0" w:hanging="0"/>
        <w:rPr/>
      </w:pPr>
      <w:r>
        <w:rPr>
          <w:i/>
        </w:rPr>
        <w:t>Zastupitelstvo obce Malé Žernoseky se na svém zasedání dne 17.4.2023 usneslo usnesením   č. 2/2023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b/>
        </w:rPr>
      </w:pPr>
      <w:r>
        <w:rPr>
          <w:b/>
        </w:rPr>
      </w:r>
    </w:p>
    <w:p>
      <w:pPr>
        <w:pStyle w:val="Normal"/>
        <w:jc w:val="center"/>
        <w:rPr>
          <w:b/>
          <w:b/>
        </w:rPr>
      </w:pPr>
      <w:r>
        <w:rPr>
          <w:b/>
        </w:rPr>
        <w:t>Článek 1</w:t>
      </w:r>
    </w:p>
    <w:p>
      <w:pPr>
        <w:pStyle w:val="Normal"/>
        <w:jc w:val="center"/>
        <w:rPr>
          <w:b/>
          <w:b/>
        </w:rPr>
      </w:pPr>
      <w:r>
        <w:rPr>
          <w:b/>
        </w:rPr>
        <w:t>Úvodní ustanovení</w:t>
      </w:r>
    </w:p>
    <w:p>
      <w:pPr>
        <w:pStyle w:val="Normal"/>
        <w:jc w:val="both"/>
        <w:rPr/>
      </w:pPr>
      <w:r>
        <w:rPr/>
      </w:r>
    </w:p>
    <w:p>
      <w:pPr>
        <w:pStyle w:val="Normal"/>
        <w:numPr>
          <w:ilvl w:val="0"/>
          <w:numId w:val="1"/>
        </w:numPr>
        <w:jc w:val="both"/>
        <w:rPr/>
      </w:pPr>
      <w:r>
        <w:rPr/>
        <w:t>Obec Malé Žernoseky zavádí touto vyhláškou místní poplatek z pobytu (dále jen „poplatek“).</w:t>
      </w:r>
    </w:p>
    <w:p>
      <w:pPr>
        <w:pStyle w:val="Normal"/>
        <w:numPr>
          <w:ilvl w:val="0"/>
          <w:numId w:val="1"/>
        </w:numPr>
        <w:jc w:val="both"/>
        <w:rPr/>
      </w:pPr>
      <w:r>
        <w:rPr/>
        <w:t>Správcem poplatku je obecní úřad.</w:t>
      </w:r>
      <w:r>
        <w:rPr>
          <w:rStyle w:val="Ukotvenpoznmkypodarou"/>
          <w:vertAlign w:val="superscript"/>
        </w:rPr>
        <w:footnoteReference w:id="2"/>
      </w:r>
      <w:r>
        <w:rPr>
          <w:vertAlign w:val="superscript"/>
        </w:rPr>
        <w:t>)</w:t>
      </w:r>
    </w:p>
    <w:p>
      <w:pPr>
        <w:pStyle w:val="Normal"/>
        <w:jc w:val="both"/>
        <w:rPr>
          <w:sz w:val="20"/>
          <w:szCs w:val="20"/>
        </w:rPr>
      </w:pPr>
      <w:r>
        <w:rPr>
          <w:sz w:val="20"/>
          <w:szCs w:val="20"/>
        </w:rPr>
      </w:r>
    </w:p>
    <w:p>
      <w:pPr>
        <w:pStyle w:val="Nadpis1"/>
        <w:keepNext w:val="false"/>
        <w:widowControl w:val="false"/>
        <w:rPr/>
      </w:pPr>
      <w:r>
        <w:rPr/>
        <w:t>Článek 2</w:t>
      </w:r>
    </w:p>
    <w:p>
      <w:pPr>
        <w:pStyle w:val="Nadpis1"/>
        <w:keepNext w:val="false"/>
        <w:widowControl w:val="false"/>
        <w:rPr>
          <w:b w:val="false"/>
          <w:b w:val="false"/>
          <w:bCs w:val="false"/>
        </w:rPr>
      </w:pPr>
      <w:r>
        <w:rPr/>
        <w:t>Předmět poplatku, poplatník, plátce a evidenční povinnost plátce</w:t>
      </w:r>
    </w:p>
    <w:p>
      <w:pPr>
        <w:pStyle w:val="Tlotextu"/>
        <w:spacing w:before="0" w:after="0"/>
        <w:rPr>
          <w:sz w:val="20"/>
          <w:szCs w:val="20"/>
        </w:rPr>
      </w:pPr>
      <w:r>
        <w:rPr>
          <w:sz w:val="20"/>
          <w:szCs w:val="20"/>
        </w:rPr>
      </w:r>
    </w:p>
    <w:p>
      <w:pPr>
        <w:pStyle w:val="Normal"/>
        <w:numPr>
          <w:ilvl w:val="0"/>
          <w:numId w:val="2"/>
        </w:numPr>
        <w:jc w:val="both"/>
        <w:rPr/>
      </w:pPr>
      <w:r>
        <w:rPr/>
        <w:t>Předmět poplatku upravuje zákon.</w:t>
      </w:r>
      <w:r>
        <w:rPr>
          <w:rStyle w:val="Ukotvenpoznmkypodarou"/>
        </w:rPr>
        <w:footnoteReference w:id="3"/>
      </w:r>
      <w:r>
        <w:rPr>
          <w:vertAlign w:val="superscript"/>
        </w:rPr>
        <w:t>)</w:t>
      </w:r>
    </w:p>
    <w:p>
      <w:pPr>
        <w:pStyle w:val="Normal"/>
        <w:numPr>
          <w:ilvl w:val="0"/>
          <w:numId w:val="2"/>
        </w:numPr>
        <w:jc w:val="both"/>
        <w:rPr/>
      </w:pPr>
      <w:r>
        <w:rPr/>
        <w:t>Poplatníka vymezuje zákon.</w:t>
      </w:r>
      <w:r>
        <w:rPr>
          <w:rStyle w:val="Ukotvenpoznmkypodarou"/>
        </w:rPr>
        <w:footnoteReference w:id="4"/>
      </w:r>
      <w:r>
        <w:rPr>
          <w:vertAlign w:val="superscript"/>
        </w:rPr>
        <w:t>)</w:t>
      </w:r>
    </w:p>
    <w:p>
      <w:pPr>
        <w:pStyle w:val="Normal"/>
        <w:numPr>
          <w:ilvl w:val="0"/>
          <w:numId w:val="2"/>
        </w:numPr>
        <w:jc w:val="both"/>
        <w:rPr/>
      </w:pPr>
      <w:r>
        <w:rPr/>
        <w:t>Plátce vymezuje zákon.</w:t>
      </w:r>
      <w:r>
        <w:rPr>
          <w:rStyle w:val="Ukotvenpoznmkypodarou"/>
        </w:rPr>
        <w:footnoteReference w:id="5"/>
      </w:r>
      <w:r>
        <w:rPr>
          <w:vertAlign w:val="superscript"/>
        </w:rPr>
        <w:t>)</w:t>
      </w:r>
    </w:p>
    <w:p>
      <w:pPr>
        <w:pStyle w:val="Normal"/>
        <w:numPr>
          <w:ilvl w:val="0"/>
          <w:numId w:val="2"/>
        </w:numPr>
        <w:jc w:val="both"/>
        <w:rPr/>
      </w:pPr>
      <w:r>
        <w:rPr/>
        <w:t>Evidenční povinnost plátce</w:t>
      </w:r>
      <w:r>
        <w:rPr>
          <w:rStyle w:val="Ukotvenpoznmkypodarou"/>
        </w:rPr>
        <w:footnoteReference w:id="6"/>
      </w:r>
      <w:r>
        <w:rPr>
          <w:vertAlign w:val="superscript"/>
        </w:rPr>
        <w:t>)</w:t>
      </w:r>
      <w:r>
        <w:rPr/>
        <w:t xml:space="preserve"> a evidenční povinnost plátce ve zjednodušeném rozsahu</w:t>
      </w:r>
      <w:r>
        <w:rPr>
          <w:rStyle w:val="Ukotvenpoznmkypodarou"/>
        </w:rPr>
        <w:footnoteReference w:id="7"/>
      </w:r>
      <w:r>
        <w:rPr>
          <w:vertAlign w:val="superscript"/>
        </w:rPr>
        <w:t>)</w:t>
      </w:r>
      <w:r>
        <w:rPr/>
        <w:t xml:space="preserve"> upravuje zákon.</w:t>
      </w:r>
    </w:p>
    <w:p>
      <w:pPr>
        <w:pStyle w:val="Tlotextu"/>
        <w:spacing w:before="0" w:after="0"/>
        <w:rPr>
          <w:sz w:val="20"/>
          <w:szCs w:val="20"/>
          <w:highlight w:val="magenta"/>
        </w:rPr>
      </w:pPr>
      <w:r>
        <w:rPr>
          <w:sz w:val="20"/>
          <w:szCs w:val="20"/>
          <w:highlight w:val="magenta"/>
        </w:rPr>
      </w:r>
      <w:r>
        <w:br w:type="page"/>
      </w:r>
    </w:p>
    <w:p>
      <w:pPr>
        <w:pStyle w:val="Normal"/>
        <w:jc w:val="center"/>
        <w:rPr>
          <w:b/>
          <w:b/>
        </w:rPr>
      </w:pPr>
      <w:r>
        <w:rPr>
          <w:b/>
        </w:rPr>
        <w:t>Článek 3</w:t>
      </w:r>
    </w:p>
    <w:p>
      <w:pPr>
        <w:pStyle w:val="Normal"/>
        <w:jc w:val="center"/>
        <w:rPr>
          <w:b/>
          <w:b/>
          <w:bCs/>
        </w:rPr>
      </w:pPr>
      <w:r>
        <w:rPr>
          <w:b/>
          <w:bCs/>
        </w:rPr>
        <w:t>Ohlašovací povinnost</w:t>
      </w:r>
    </w:p>
    <w:p>
      <w:pPr>
        <w:pStyle w:val="Normal"/>
        <w:rPr/>
      </w:pPr>
      <w:r>
        <w:rPr/>
      </w:r>
    </w:p>
    <w:p>
      <w:pPr>
        <w:pStyle w:val="Normln2"/>
        <w:numPr>
          <w:ilvl w:val="0"/>
          <w:numId w:val="3"/>
        </w:numPr>
        <w:jc w:val="both"/>
        <w:rPr>
          <w:bCs/>
          <w:szCs w:val="24"/>
        </w:rPr>
      </w:pPr>
      <w:r>
        <w:rPr>
          <w:bCs/>
          <w:szCs w:val="24"/>
        </w:rPr>
        <w:t>Plátce podává ohlášení do 15 dnů od okamžiku, kdy se stal plátcem.</w:t>
      </w:r>
      <w:r>
        <w:rPr>
          <w:rStyle w:val="Ukotvenpoznmkypodarou"/>
        </w:rPr>
        <w:footnoteReference w:id="8"/>
      </w:r>
      <w:r>
        <w:rPr>
          <w:vertAlign w:val="superscript"/>
        </w:rPr>
        <w:t>)</w:t>
      </w:r>
    </w:p>
    <w:p>
      <w:pPr>
        <w:pStyle w:val="Normln2"/>
        <w:numPr>
          <w:ilvl w:val="0"/>
          <w:numId w:val="3"/>
        </w:numPr>
        <w:jc w:val="both"/>
        <w:rPr>
          <w:bCs/>
          <w:szCs w:val="24"/>
        </w:rPr>
      </w:pPr>
      <w:r>
        <w:rPr/>
        <w:t>Obsah ohlášení upravuje zákon o místních poplatcích.</w:t>
      </w:r>
      <w:r>
        <w:rPr>
          <w:rStyle w:val="Ukotvenpoznmkypodarou"/>
        </w:rPr>
        <w:footnoteReference w:id="9"/>
      </w:r>
      <w:r>
        <w:rPr>
          <w:szCs w:val="24"/>
          <w:vertAlign w:val="superscript"/>
        </w:rPr>
        <w:t>)</w:t>
      </w:r>
    </w:p>
    <w:p>
      <w:pPr>
        <w:pStyle w:val="Normln2"/>
        <w:numPr>
          <w:ilvl w:val="0"/>
          <w:numId w:val="3"/>
        </w:numPr>
        <w:jc w:val="both"/>
        <w:rPr>
          <w:bCs/>
          <w:szCs w:val="24"/>
        </w:rPr>
      </w:pPr>
      <w:r>
        <w:rPr>
          <w:bCs/>
          <w:szCs w:val="24"/>
        </w:rPr>
        <w:t>Postup při změně údajů uvedených v ohlášení upravuje zákon.</w:t>
      </w:r>
      <w:r>
        <w:rPr>
          <w:rStyle w:val="Ukotvenpoznmkypodarou"/>
          <w:bCs/>
          <w:szCs w:val="24"/>
        </w:rPr>
        <w:footnoteReference w:id="10"/>
      </w:r>
      <w:r>
        <w:rPr>
          <w:bCs/>
          <w:szCs w:val="24"/>
          <w:vertAlign w:val="superscript"/>
        </w:rPr>
        <w:t>)</w:t>
      </w:r>
      <w:r>
        <w:rPr>
          <w:bCs/>
          <w:szCs w:val="24"/>
        </w:rPr>
        <w:t xml:space="preserve"> </w:t>
      </w:r>
    </w:p>
    <w:p>
      <w:pPr>
        <w:pStyle w:val="Normln2"/>
        <w:jc w:val="both"/>
        <w:rPr>
          <w:bCs/>
          <w:sz w:val="20"/>
          <w:highlight w:val="magenta"/>
        </w:rPr>
      </w:pPr>
      <w:r>
        <w:rPr>
          <w:bCs/>
          <w:sz w:val="20"/>
          <w:highlight w:val="magenta"/>
        </w:rPr>
      </w:r>
    </w:p>
    <w:p>
      <w:pPr>
        <w:pStyle w:val="Normal"/>
        <w:jc w:val="center"/>
        <w:rPr>
          <w:b/>
          <w:b/>
          <w:bCs/>
        </w:rPr>
      </w:pPr>
      <w:r>
        <w:rPr>
          <w:b/>
          <w:bCs/>
        </w:rPr>
        <w:t>Článek 4</w:t>
      </w:r>
    </w:p>
    <w:p>
      <w:pPr>
        <w:pStyle w:val="Normal"/>
        <w:jc w:val="center"/>
        <w:rPr>
          <w:b/>
          <w:b/>
          <w:bCs/>
        </w:rPr>
      </w:pPr>
      <w:r>
        <w:rPr>
          <w:b/>
          <w:bCs/>
        </w:rPr>
        <w:t>Sazba poplatku</w:t>
      </w:r>
    </w:p>
    <w:p>
      <w:pPr>
        <w:pStyle w:val="Normal"/>
        <w:jc w:val="both"/>
        <w:rPr/>
      </w:pPr>
      <w:r>
        <w:rPr/>
      </w:r>
    </w:p>
    <w:p>
      <w:pPr>
        <w:pStyle w:val="Normal"/>
        <w:numPr>
          <w:ilvl w:val="0"/>
          <w:numId w:val="9"/>
        </w:numPr>
        <w:jc w:val="both"/>
        <w:rPr/>
      </w:pPr>
      <w:r>
        <w:rPr/>
        <w:t>Sazba poplatku činí 20 Kč.</w:t>
      </w:r>
    </w:p>
    <w:p>
      <w:pPr>
        <w:pStyle w:val="Normal"/>
        <w:numPr>
          <w:ilvl w:val="0"/>
          <w:numId w:val="9"/>
        </w:numPr>
        <w:jc w:val="both"/>
        <w:rPr/>
      </w:pPr>
      <w:r>
        <w:rPr/>
        <w:t>Výpočet poplatku upravuje zákon.</w:t>
      </w:r>
      <w:r>
        <w:rPr>
          <w:rStyle w:val="Ukotvenpoznmkypodarou"/>
        </w:rPr>
        <w:footnoteReference w:id="11"/>
      </w:r>
      <w:r>
        <w:rPr>
          <w:vertAlign w:val="superscript"/>
        </w:rPr>
        <w:t>)</w:t>
      </w:r>
    </w:p>
    <w:p>
      <w:pPr>
        <w:pStyle w:val="Tlotextu"/>
        <w:spacing w:before="0" w:after="0"/>
        <w:jc w:val="center"/>
        <w:rPr>
          <w:b/>
          <w:b/>
          <w:bCs/>
        </w:rPr>
      </w:pPr>
      <w:r>
        <w:rPr>
          <w:b/>
          <w:bCs/>
        </w:rPr>
      </w:r>
    </w:p>
    <w:p>
      <w:pPr>
        <w:pStyle w:val="Tlotextu"/>
        <w:spacing w:before="0" w:after="0"/>
        <w:jc w:val="center"/>
        <w:rPr>
          <w:b/>
          <w:b/>
          <w:bCs/>
        </w:rPr>
      </w:pPr>
      <w:r>
        <w:rPr>
          <w:b/>
          <w:bCs/>
        </w:rPr>
        <w:t>Článek 5</w:t>
      </w:r>
    </w:p>
    <w:p>
      <w:pPr>
        <w:pStyle w:val="Tlotextu"/>
        <w:spacing w:before="0" w:after="0"/>
        <w:jc w:val="center"/>
        <w:rPr>
          <w:b/>
          <w:b/>
          <w:bCs/>
        </w:rPr>
      </w:pPr>
      <w:r>
        <w:rPr>
          <w:b/>
          <w:bCs/>
        </w:rPr>
        <w:t>Osvobození</w:t>
      </w:r>
    </w:p>
    <w:p>
      <w:pPr>
        <w:pStyle w:val="Tlotextu"/>
        <w:spacing w:before="0" w:after="0"/>
        <w:jc w:val="center"/>
        <w:rPr>
          <w:b/>
          <w:b/>
          <w:bCs/>
        </w:rPr>
      </w:pPr>
      <w:r>
        <w:rPr>
          <w:b/>
          <w:bCs/>
        </w:rPr>
      </w:r>
    </w:p>
    <w:p>
      <w:pPr>
        <w:pStyle w:val="Tlotextu"/>
        <w:numPr>
          <w:ilvl w:val="0"/>
          <w:numId w:val="4"/>
        </w:numPr>
        <w:spacing w:before="0" w:after="0"/>
        <w:rPr/>
      </w:pPr>
      <w:r>
        <w:rPr/>
        <w:t>Důvody osvobození od poplatku stanoví zákon o místních poplatcích.</w:t>
      </w:r>
      <w:r>
        <w:rPr>
          <w:rStyle w:val="Ukotvenpoznmkypodarou"/>
        </w:rPr>
        <w:footnoteReference w:id="12"/>
      </w:r>
      <w:r>
        <w:rPr>
          <w:vertAlign w:val="superscript"/>
        </w:rPr>
        <w:t>)</w:t>
      </w:r>
    </w:p>
    <w:p>
      <w:pPr>
        <w:pStyle w:val="Tlotextu"/>
        <w:numPr>
          <w:ilvl w:val="0"/>
          <w:numId w:val="4"/>
        </w:numPr>
        <w:spacing w:before="0" w:after="0"/>
        <w:jc w:val="both"/>
        <w:rPr/>
      </w:pPr>
      <w:r>
        <w:rPr/>
        <w:t>Dále se touto vyhláškou stanoví další osvobození od poplatku pro osoby úplatně pobývající na území obce, pro něž je úplata za jejich pobyt hrazena subjektem poskytujícím humanitární pomoc, jako forma takové humanitární pomoci.</w:t>
      </w:r>
    </w:p>
    <w:p>
      <w:pPr>
        <w:pStyle w:val="Tlotextu"/>
        <w:spacing w:before="0" w:after="0"/>
        <w:jc w:val="center"/>
        <w:rPr>
          <w:b/>
          <w:b/>
          <w:bCs/>
        </w:rPr>
      </w:pPr>
      <w:r>
        <w:rPr>
          <w:b/>
          <w:bCs/>
        </w:rPr>
      </w:r>
    </w:p>
    <w:p>
      <w:pPr>
        <w:pStyle w:val="Tlotextu"/>
        <w:spacing w:before="0" w:after="0"/>
        <w:jc w:val="center"/>
        <w:rPr>
          <w:b/>
          <w:b/>
          <w:bCs/>
        </w:rPr>
      </w:pPr>
      <w:r>
        <w:rPr>
          <w:b/>
          <w:bCs/>
        </w:rPr>
        <w:t>Článek 6</w:t>
      </w:r>
    </w:p>
    <w:p>
      <w:pPr>
        <w:pStyle w:val="Tlotextu"/>
        <w:spacing w:before="0" w:after="0"/>
        <w:jc w:val="center"/>
        <w:rPr>
          <w:b/>
          <w:b/>
          <w:bCs/>
        </w:rPr>
      </w:pPr>
      <w:r>
        <w:rPr>
          <w:b/>
          <w:bCs/>
        </w:rPr>
        <w:t>Splatnost poplatku</w:t>
      </w:r>
    </w:p>
    <w:p>
      <w:pPr>
        <w:pStyle w:val="Tlotextu"/>
        <w:spacing w:before="0" w:after="0"/>
        <w:jc w:val="center"/>
        <w:rPr>
          <w:b/>
          <w:b/>
          <w:bCs/>
        </w:rPr>
      </w:pPr>
      <w:r>
        <w:rPr>
          <w:b/>
          <w:bCs/>
        </w:rPr>
      </w:r>
    </w:p>
    <w:p>
      <w:pPr>
        <w:pStyle w:val="Tlotextu"/>
        <w:spacing w:before="0" w:after="0"/>
        <w:jc w:val="both"/>
        <w:rPr/>
      </w:pPr>
      <w:r>
        <w:rPr/>
        <w:t>Vybrané poplatky odvádí plátce měsíčně do 5 dnů od skončení příslušného kalendářního měsíce.</w:t>
      </w:r>
    </w:p>
    <w:p>
      <w:pPr>
        <w:pStyle w:val="Normal"/>
        <w:tabs>
          <w:tab w:val="clear" w:pos="709"/>
          <w:tab w:val="left" w:pos="3780" w:leader="none"/>
        </w:tabs>
        <w:jc w:val="center"/>
        <w:rPr>
          <w:b/>
          <w:b/>
        </w:rPr>
      </w:pPr>
      <w:r>
        <w:rPr>
          <w:b/>
        </w:rPr>
      </w:r>
    </w:p>
    <w:p>
      <w:pPr>
        <w:pStyle w:val="Slalnk"/>
        <w:keepNext w:val="false"/>
        <w:keepLines w:val="false"/>
        <w:widowControl w:val="false"/>
        <w:spacing w:before="0" w:after="0"/>
        <w:rPr>
          <w:szCs w:val="24"/>
        </w:rPr>
      </w:pPr>
      <w:r>
        <w:rPr>
          <w:szCs w:val="24"/>
        </w:rPr>
        <w:t>Článek 7</w:t>
      </w:r>
    </w:p>
    <w:p>
      <w:pPr>
        <w:pStyle w:val="Nzvylnk"/>
        <w:keepNext w:val="false"/>
        <w:keepLines w:val="false"/>
        <w:widowControl w:val="false"/>
        <w:spacing w:before="0" w:after="0"/>
        <w:rPr>
          <w:szCs w:val="24"/>
        </w:rPr>
      </w:pPr>
      <w:r>
        <w:rPr>
          <w:szCs w:val="24"/>
        </w:rPr>
        <w:t>Zrušovací ustanovení</w:t>
      </w:r>
    </w:p>
    <w:p>
      <w:pPr>
        <w:pStyle w:val="Normal"/>
        <w:jc w:val="both"/>
        <w:rPr/>
      </w:pPr>
      <w:r>
        <w:rPr/>
      </w:r>
    </w:p>
    <w:p>
      <w:pPr>
        <w:pStyle w:val="Normal"/>
        <w:jc w:val="both"/>
        <w:rPr/>
      </w:pPr>
      <w:r>
        <w:rPr/>
        <w:t>Zrušuje se obecně závazná vyhláška č. 2/2019, o místním poplatku z pobytu, ze dne 18. 12. 2019.</w:t>
      </w:r>
    </w:p>
    <w:p>
      <w:pPr>
        <w:pStyle w:val="Slalnk"/>
        <w:keepNext w:val="false"/>
        <w:keepLines w:val="false"/>
        <w:widowControl w:val="false"/>
        <w:spacing w:before="0" w:after="0"/>
        <w:rPr>
          <w:szCs w:val="24"/>
        </w:rPr>
      </w:pPr>
      <w:r>
        <w:rPr>
          <w:szCs w:val="24"/>
        </w:rPr>
      </w:r>
    </w:p>
    <w:p>
      <w:pPr>
        <w:pStyle w:val="Slalnk"/>
        <w:keepNext w:val="false"/>
        <w:keepLines w:val="false"/>
        <w:widowControl w:val="false"/>
        <w:spacing w:before="0" w:after="0"/>
        <w:rPr>
          <w:szCs w:val="24"/>
        </w:rPr>
      </w:pPr>
      <w:r>
        <w:rPr>
          <w:szCs w:val="24"/>
        </w:rPr>
        <w:t>Článek</w:t>
      </w:r>
      <w:r>
        <w:rPr>
          <w:szCs w:val="24"/>
        </w:rPr>
        <w:t xml:space="preserve"> 8</w:t>
      </w:r>
    </w:p>
    <w:p>
      <w:pPr>
        <w:pStyle w:val="Nzvylnk"/>
        <w:keepNext w:val="false"/>
        <w:keepLines w:val="false"/>
        <w:widowControl w:val="false"/>
        <w:spacing w:before="0" w:after="0"/>
        <w:rPr>
          <w:szCs w:val="24"/>
        </w:rPr>
      </w:pPr>
      <w:r>
        <w:rPr>
          <w:szCs w:val="24"/>
        </w:rPr>
        <w:t>Účinnost</w:t>
      </w:r>
    </w:p>
    <w:p>
      <w:pPr>
        <w:pStyle w:val="Normal"/>
        <w:jc w:val="both"/>
        <w:rPr/>
      </w:pPr>
      <w:r>
        <w:rPr/>
      </w:r>
    </w:p>
    <w:p>
      <w:pPr>
        <w:pStyle w:val="Normal"/>
        <w:jc w:val="both"/>
        <w:rPr/>
      </w:pPr>
      <w:r>
        <w:rPr/>
        <w:t xml:space="preserve">Tato vyhláška nabývá účinnosti </w:t>
      </w:r>
      <w:r>
        <w:rPr>
          <w:rFonts w:eastAsia="MS Mincho"/>
        </w:rPr>
        <w:t>počátkem patnáctého dne následujícího po dni jejího vyhlášení</w:t>
      </w:r>
      <w:r>
        <w:rPr/>
        <w:t xml:space="preserve">. </w:t>
      </w:r>
    </w:p>
    <w:p>
      <w:pPr>
        <w:pStyle w:val="Normal"/>
        <w:ind w:firstLine="708"/>
        <w:jc w:val="both"/>
        <w:rPr>
          <w:highlight w:val="yellow"/>
        </w:rPr>
      </w:pPr>
      <w:r>
        <w:rPr>
          <w:highlight w:val="yellow"/>
        </w:rPr>
      </w:r>
    </w:p>
    <w:p>
      <w:pPr>
        <w:pStyle w:val="Normal"/>
        <w:ind w:firstLine="708"/>
        <w:jc w:val="both"/>
        <w:rPr>
          <w:highlight w:val="yellow"/>
        </w:rPr>
      </w:pPr>
      <w:r>
        <w:rPr>
          <w:highlight w:val="yellow"/>
        </w:rPr>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ind w:firstLine="708"/>
        <w:jc w:val="both"/>
        <w:rPr>
          <w:highlight w:val="yellow"/>
        </w:rPr>
      </w:pPr>
      <w:r>
        <w:rPr>
          <w:highlight w:val="yellow"/>
        </w:rPr>
      </w:r>
      <w:bookmarkStart w:id="0" w:name="_GoBack"/>
      <w:bookmarkStart w:id="1" w:name="_GoBack"/>
      <w:bookmarkEnd w:id="1"/>
    </w:p>
    <w:p>
      <w:pPr>
        <w:pStyle w:val="Normal"/>
        <w:ind w:firstLine="708"/>
        <w:jc w:val="both"/>
        <w:rPr>
          <w:highlight w:val="yellow"/>
        </w:rPr>
      </w:pPr>
      <w:r>
        <w:rPr>
          <w:highlight w:val="yellow"/>
        </w:rPr>
      </w:r>
    </w:p>
    <w:tbl>
      <w:tblPr>
        <w:tblW w:w="9035" w:type="dxa"/>
        <w:jc w:val="center"/>
        <w:tblInd w:w="0" w:type="dxa"/>
        <w:tblCellMar>
          <w:top w:w="0" w:type="dxa"/>
          <w:left w:w="108" w:type="dxa"/>
          <w:bottom w:w="0" w:type="dxa"/>
          <w:right w:w="108" w:type="dxa"/>
        </w:tblCellMar>
        <w:tblLook w:firstRow="1" w:noVBand="1" w:lastRow="0" w:firstColumn="1" w:lastColumn="0" w:noHBand="0" w:val="04a0"/>
      </w:tblPr>
      <w:tblGrid>
        <w:gridCol w:w="4535"/>
        <w:gridCol w:w="4499"/>
      </w:tblGrid>
      <w:tr>
        <w:trPr/>
        <w:tc>
          <w:tcPr>
            <w:tcW w:w="4535" w:type="dxa"/>
            <w:tcBorders/>
          </w:tcPr>
          <w:p>
            <w:pPr>
              <w:pStyle w:val="Normal"/>
              <w:widowControl w:val="false"/>
              <w:jc w:val="center"/>
              <w:rPr>
                <w:highlight w:val="yellow"/>
              </w:rPr>
            </w:pPr>
            <w:r>
              <w:rPr/>
              <w:t>____________________________</w:t>
            </w:r>
          </w:p>
        </w:tc>
        <w:tc>
          <w:tcPr>
            <w:tcW w:w="4499" w:type="dxa"/>
            <w:tcBorders/>
          </w:tcPr>
          <w:p>
            <w:pPr>
              <w:pStyle w:val="Normal"/>
              <w:widowControl w:val="false"/>
              <w:jc w:val="center"/>
              <w:rPr>
                <w:highlight w:val="yellow"/>
              </w:rPr>
            </w:pPr>
            <w:r>
              <w:rPr/>
              <w:t>____________________________</w:t>
            </w:r>
          </w:p>
        </w:tc>
      </w:tr>
      <w:tr>
        <w:trPr/>
        <w:tc>
          <w:tcPr>
            <w:tcW w:w="4535" w:type="dxa"/>
            <w:tcBorders/>
          </w:tcPr>
          <w:p>
            <w:pPr>
              <w:pStyle w:val="Normal"/>
              <w:widowControl w:val="false"/>
              <w:jc w:val="center"/>
              <w:rPr/>
            </w:pPr>
            <w:r>
              <w:rPr/>
              <w:t>Romana Dvořáková v. r.</w:t>
            </w:r>
          </w:p>
          <w:p>
            <w:pPr>
              <w:pStyle w:val="Normal"/>
              <w:widowControl w:val="false"/>
              <w:jc w:val="center"/>
              <w:rPr/>
            </w:pPr>
            <w:r>
              <w:rPr/>
              <w:t>místostarostka</w:t>
            </w:r>
          </w:p>
        </w:tc>
        <w:tc>
          <w:tcPr>
            <w:tcW w:w="4499" w:type="dxa"/>
            <w:tcBorders/>
          </w:tcPr>
          <w:p>
            <w:pPr>
              <w:pStyle w:val="Normal"/>
              <w:widowControl w:val="false"/>
              <w:jc w:val="center"/>
              <w:rPr/>
            </w:pPr>
            <w:r>
              <w:rPr/>
              <w:t>Ing. Petr Liška v. r.</w:t>
            </w:r>
          </w:p>
          <w:p>
            <w:pPr>
              <w:pStyle w:val="Normal"/>
              <w:widowControl w:val="false"/>
              <w:jc w:val="center"/>
              <w:rPr/>
            </w:pPr>
            <w:r>
              <w:rPr/>
              <w:t>starosta</w:t>
            </w:r>
          </w:p>
        </w:tc>
      </w:tr>
    </w:tbl>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Normal"/>
        <w:rPr/>
      </w:pPr>
      <w:r>
        <w:rPr/>
      </w:r>
    </w:p>
    <w:sectPr>
      <w:footnotePr>
        <w:numFmt w:val="decimal"/>
      </w:footnotePr>
      <w:type w:val="nextPage"/>
      <w:pgSz w:w="11906" w:h="16838"/>
      <w:pgMar w:left="1418" w:right="1418" w:header="0" w:top="1418" w:footer="0"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 w:name="Arial Unicode MS">
    <w:charset w:val="ee"/>
    <w:family w:val="roman"/>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3">
    <w:p>
      <w:pPr>
        <w:pStyle w:val="Poznmkapodarou"/>
        <w:ind w:left="198" w:hanging="198"/>
        <w:jc w:val="both"/>
        <w:rPr/>
      </w:pPr>
      <w:r>
        <w:rPr>
          <w:rStyle w:val="Znakypropoznmkupodarou"/>
        </w:rPr>
        <w:footnoteRef/>
      </w:r>
      <w:r>
        <w:rPr>
          <w:vertAlign w:val="superscript"/>
        </w:rPr>
        <w:tab/>
        <w:t>)</w:t>
      </w:r>
      <w:r>
        <w:rPr/>
        <w:t xml:space="preserve"> § 3a zákona o místních poplatcích (</w:t>
      </w:r>
      <w:r>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r>
        <w:rPr/>
        <w:t>)</w:t>
      </w:r>
    </w:p>
  </w:footnote>
  <w:footnote w:id="4">
    <w:p>
      <w:pPr>
        <w:pStyle w:val="Poznmkapodarou"/>
        <w:ind w:left="198" w:hanging="198"/>
        <w:jc w:val="both"/>
        <w:rPr>
          <w:i/>
          <w:i/>
        </w:rPr>
      </w:pPr>
      <w:r>
        <w:rPr>
          <w:rStyle w:val="Znakypropoznmkupodarou"/>
        </w:rPr>
        <w:footnoteRef/>
      </w:r>
      <w:r>
        <w:rPr>
          <w:vertAlign w:val="superscript"/>
        </w:rPr>
        <w:tab/>
        <w:t>)</w:t>
      </w:r>
      <w:r>
        <w:rPr/>
        <w:t xml:space="preserve"> § 3 zákona o místních poplatcích (</w:t>
      </w:r>
      <w:r>
        <w:rPr>
          <w:i/>
        </w:rPr>
        <w:t>Poplatníkem poplatku z pobytu je osoba, která v obci není přihlášená.</w:t>
      </w:r>
      <w:r>
        <w:rPr/>
        <w:t>); § 16c zákona o místních poplatcích (</w:t>
      </w:r>
      <w:r>
        <w:rPr>
          <w:i/>
        </w:rPr>
        <w:t xml:space="preserve">Pro účely poplatků se za přihlášení fyzické osoby považuje: </w:t>
      </w:r>
    </w:p>
    <w:p>
      <w:pPr>
        <w:pStyle w:val="Poznmkapodarou"/>
        <w:numPr>
          <w:ilvl w:val="0"/>
          <w:numId w:val="5"/>
        </w:numPr>
        <w:jc w:val="both"/>
        <w:rPr>
          <w:i/>
          <w:i/>
        </w:rPr>
      </w:pPr>
      <w:r>
        <w:rPr>
          <w:i/>
        </w:rPr>
        <w:t>přihlášení k trvalému pobytu podle zákona o evidenci obyvatel, nebo</w:t>
      </w:r>
    </w:p>
    <w:p>
      <w:pPr>
        <w:pStyle w:val="Poznmkapodarou"/>
        <w:numPr>
          <w:ilvl w:val="0"/>
          <w:numId w:val="5"/>
        </w:numPr>
        <w:jc w:val="both"/>
        <w:rPr>
          <w:i/>
          <w:i/>
        </w:rPr>
      </w:pPr>
      <w:r>
        <w:rPr>
          <w:i/>
        </w:rPr>
        <w:t>ohlášení místa pobytu podle zákona o pobytu cizinců na území České republiky,</w:t>
      </w:r>
      <w:r>
        <w:rPr/>
        <w:t xml:space="preserve"> </w:t>
      </w:r>
      <w:r>
        <w:rPr>
          <w:i/>
        </w:rPr>
        <w:t>zákona o azylu nebo zákona o dočasné ochraně cizinců, jde-li o cizince</w:t>
      </w:r>
    </w:p>
    <w:p>
      <w:pPr>
        <w:pStyle w:val="Poznmkapodarou"/>
        <w:numPr>
          <w:ilvl w:val="0"/>
          <w:numId w:val="6"/>
        </w:numPr>
        <w:jc w:val="both"/>
        <w:rPr>
          <w:i/>
          <w:i/>
        </w:rPr>
      </w:pPr>
      <w:r>
        <w:rPr>
          <w:i/>
        </w:rPr>
        <w:t xml:space="preserve"> </w:t>
      </w:r>
      <w:r>
        <w:rPr>
          <w:i/>
        </w:rPr>
        <w:t>kterému byl povolen trvalý pobyt,</w:t>
      </w:r>
    </w:p>
    <w:p>
      <w:pPr>
        <w:pStyle w:val="Poznmkapodarou"/>
        <w:numPr>
          <w:ilvl w:val="0"/>
          <w:numId w:val="6"/>
        </w:numPr>
        <w:jc w:val="both"/>
        <w:rPr>
          <w:i/>
          <w:i/>
        </w:rPr>
      </w:pPr>
      <w:r>
        <w:rPr>
          <w:i/>
        </w:rPr>
        <w:t xml:space="preserve"> </w:t>
      </w:r>
      <w:r>
        <w:rPr>
          <w:i/>
        </w:rPr>
        <w:t>který na území České republiky pobývá přechodně po dobu delší než 3 měsíce,</w:t>
      </w:r>
    </w:p>
    <w:p>
      <w:pPr>
        <w:pStyle w:val="Poznmkapodarou"/>
        <w:numPr>
          <w:ilvl w:val="0"/>
          <w:numId w:val="6"/>
        </w:numPr>
        <w:ind w:left="743" w:hanging="187"/>
        <w:jc w:val="both"/>
        <w:rPr>
          <w:i/>
          <w:i/>
        </w:rPr>
      </w:pPr>
      <w:r>
        <w:rPr>
          <w:i/>
        </w:rPr>
        <w:t xml:space="preserve"> </w:t>
      </w:r>
      <w:r>
        <w:rPr>
          <w:i/>
        </w:rPr>
        <w:t xml:space="preserve">který je žadatelem o udělení mezinárodní ochrany nebo osobou strpěnou na území podle zákona o azylu anebo žadatelem o poskytnutí dočasné ochrany podle zákona o dočasné ochraně cizinců, nebo </w:t>
      </w:r>
    </w:p>
    <w:p>
      <w:pPr>
        <w:pStyle w:val="Poznmkapodarou"/>
        <w:numPr>
          <w:ilvl w:val="0"/>
          <w:numId w:val="6"/>
        </w:numPr>
        <w:jc w:val="both"/>
        <w:rPr/>
      </w:pPr>
      <w:r>
        <w:rPr>
          <w:i/>
        </w:rPr>
        <w:t xml:space="preserve"> </w:t>
      </w:r>
      <w:r>
        <w:rPr>
          <w:i/>
        </w:rPr>
        <w:t>kterému byla udělena mezinárodní ochrana nebo jde o cizince požívajícího dočasné ochrany cizinců.</w:t>
      </w:r>
      <w:r>
        <w:rPr/>
        <w:t>)</w:t>
      </w:r>
    </w:p>
  </w:footnote>
  <w:footnote w:id="5">
    <w:p>
      <w:pPr>
        <w:pStyle w:val="Poznmkapodarou"/>
        <w:ind w:left="198" w:hanging="198"/>
        <w:jc w:val="both"/>
        <w:rPr/>
      </w:pPr>
      <w:r>
        <w:rPr>
          <w:rStyle w:val="Znakypropoznmkupodarou"/>
        </w:rPr>
        <w:footnoteRef/>
      </w:r>
      <w:r>
        <w:rPr>
          <w:vertAlign w:val="superscript"/>
        </w:rPr>
        <w:tab/>
        <w:t>)</w:t>
      </w:r>
      <w:r>
        <w:rPr/>
        <w:t xml:space="preserve"> § 3f odst. 1 zákona o místních poplatcích (</w:t>
      </w:r>
      <w:r>
        <w:rPr>
          <w:i/>
        </w:rPr>
        <w:t>Plátcem poplatku z pobytu je poskytovatel úplatného pobytu.</w:t>
      </w:r>
      <w:r>
        <w:rPr/>
        <w:t>); § 3f odst. 2 zákona o místních poplatcích (</w:t>
      </w:r>
      <w:r>
        <w:rPr>
          <w:i/>
        </w:rPr>
        <w:t>Plátce poplatku je povinen vybrat poplatek od poplatníka.</w:t>
      </w:r>
      <w:r>
        <w:rPr/>
        <w:t>)</w:t>
      </w:r>
    </w:p>
  </w:footnote>
  <w:footnote w:id="6">
    <w:p>
      <w:pPr>
        <w:pStyle w:val="Poznmkapodarou"/>
        <w:ind w:left="198" w:hanging="198"/>
        <w:jc w:val="both"/>
        <w:rPr/>
      </w:pPr>
      <w:r>
        <w:rPr>
          <w:rStyle w:val="Znakypropoznmkupodarou"/>
        </w:rPr>
        <w:footnoteRef/>
      </w:r>
      <w:r>
        <w:rPr>
          <w:vertAlign w:val="superscript"/>
        </w:rPr>
        <w:tab/>
        <w:t>)</w:t>
      </w:r>
      <w:r>
        <w:rPr/>
        <w:t xml:space="preserve"> § 3g zákona o místních poplatcích</w:t>
      </w:r>
    </w:p>
  </w:footnote>
  <w:footnote w:id="7">
    <w:p>
      <w:pPr>
        <w:pStyle w:val="Poznmkapodarou"/>
        <w:ind w:left="198" w:hanging="198"/>
        <w:jc w:val="both"/>
        <w:rPr/>
      </w:pPr>
      <w:r>
        <w:rPr>
          <w:rStyle w:val="Znakypropoznmkupodarou"/>
        </w:rPr>
        <w:footnoteRef/>
      </w:r>
      <w:r>
        <w:rPr>
          <w:vertAlign w:val="superscript"/>
        </w:rPr>
        <w:tab/>
        <w:t>)</w:t>
      </w:r>
      <w:r>
        <w:rPr/>
        <w:t xml:space="preserve"> § 3h zákona o místních poplatcích</w:t>
      </w:r>
    </w:p>
  </w:footnote>
  <w:footnote w:id="8">
    <w:p>
      <w:pPr>
        <w:pStyle w:val="Poznmkapodarou"/>
        <w:ind w:left="198" w:hanging="198"/>
        <w:jc w:val="both"/>
        <w:rPr/>
      </w:pPr>
      <w:r>
        <w:rPr>
          <w:rStyle w:val="Znakypropoznmkupodarou"/>
        </w:rPr>
        <w:footnoteRef/>
      </w:r>
      <w:r>
        <w:rPr>
          <w:vertAlign w:val="superscript"/>
        </w:rPr>
        <w:tab/>
        <w:t>)</w:t>
      </w:r>
      <w:r>
        <w:rPr/>
        <w:t xml:space="preserve"> § 14a odst. 1 zákona o místních poplatcích (</w:t>
      </w:r>
      <w:r>
        <w:rPr>
          <w:i/>
        </w:rPr>
        <w:t>Poplatník nebo plátce poplatku je povinen podat správci poplatku ohlášení, nevyloučí-li obec tuto povinnost v obecně závazné vyhlášce. V případě poplatku odváděného plátcem poplatku podává ohlášení pouze plátce poplatku.</w:t>
      </w:r>
      <w:r>
        <w:rPr/>
        <w:t>)</w:t>
      </w:r>
    </w:p>
  </w:footnote>
  <w:footnote w:id="9">
    <w:p>
      <w:pPr>
        <w:pStyle w:val="Poznmkapodarou"/>
        <w:jc w:val="both"/>
        <w:rPr>
          <w:i/>
          <w:i/>
        </w:rPr>
      </w:pPr>
      <w:r>
        <w:rPr>
          <w:rStyle w:val="Znakypropoznmkupodarou"/>
        </w:rPr>
        <w:footnoteRef/>
      </w:r>
      <w:r>
        <w:rPr>
          <w:vertAlign w:val="superscript"/>
        </w:rPr>
        <w:t>)</w:t>
      </w:r>
      <w:r>
        <w:rPr/>
        <w:t xml:space="preserve"> § 14a odst. 2, 3 a 5 zákona o místních poplatcích: (</w:t>
      </w:r>
      <w:r>
        <w:rPr>
          <w:i/>
        </w:rPr>
        <w:t>2) V ohlášení plátce uvede</w:t>
      </w:r>
    </w:p>
    <w:p>
      <w:pPr>
        <w:pStyle w:val="Poznmkapodarou"/>
        <w:tabs>
          <w:tab w:val="clear" w:pos="709"/>
          <w:tab w:val="left" w:pos="284" w:leader="none"/>
        </w:tabs>
        <w:ind w:left="284" w:hanging="0"/>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Poznmkapodarou"/>
        <w:ind w:left="284" w:firstLine="1"/>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pPr>
        <w:pStyle w:val="Poznmkapodarou"/>
        <w:ind w:left="284" w:hanging="0"/>
        <w:jc w:val="both"/>
        <w:rPr>
          <w:i/>
          <w:i/>
        </w:rPr>
      </w:pPr>
      <w:r>
        <w:rPr>
          <w:i/>
        </w:rPr>
        <w:t>c) údaje rozhodné pro stanovení výše poplatku.</w:t>
      </w:r>
    </w:p>
    <w:p>
      <w:pPr>
        <w:pStyle w:val="Poznmkapodarou"/>
        <w:ind w:left="284" w:hanging="0"/>
        <w:jc w:val="both"/>
        <w:rPr>
          <w:i/>
          <w:i/>
        </w:rPr>
      </w:pPr>
      <w:r>
        <w:rPr>
          <w:i/>
        </w:rPr>
        <w:t>3)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Poznmkapodarou"/>
        <w:ind w:left="284" w:hanging="0"/>
        <w:jc w:val="both"/>
        <w:rPr>
          <w:highlight w:val="green"/>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10">
    <w:p>
      <w:pPr>
        <w:pStyle w:val="Poznmkapodarou"/>
        <w:ind w:left="198" w:hanging="198"/>
        <w:jc w:val="both"/>
        <w:rPr/>
      </w:pPr>
      <w:r>
        <w:rPr>
          <w:rStyle w:val="Znakypropoznmkupodarou"/>
        </w:rPr>
        <w:footnoteRef/>
      </w:r>
      <w:r>
        <w:rPr>
          <w:vertAlign w:val="superscript"/>
        </w:rPr>
        <w:tab/>
        <w:t>)</w:t>
      </w:r>
      <w:r>
        <w:rPr/>
        <w:t xml:space="preserve"> § 14a odst. 4 zákona o místních poplatcích (</w:t>
      </w:r>
      <w:r>
        <w:rPr>
          <w:bCs/>
          <w:i/>
          <w:szCs w:val="24"/>
        </w:rPr>
        <w:t>Dojde-li ke změně údajů uvedených v ohlášení, je plátce povinen tuto změnu oznámit do 15 dnů ode dne, kdy nastala, nestanoví-li obec v obecně závazné vyhlášce delší lhůtu.</w:t>
      </w:r>
      <w:r>
        <w:rPr>
          <w:bCs/>
          <w:szCs w:val="24"/>
        </w:rPr>
        <w:t>)</w:t>
      </w:r>
    </w:p>
  </w:footnote>
  <w:footnote w:id="11">
    <w:p>
      <w:pPr>
        <w:pStyle w:val="Poznmkapodarou"/>
        <w:ind w:left="198" w:hanging="198"/>
        <w:jc w:val="both"/>
        <w:rPr/>
      </w:pPr>
      <w:r>
        <w:rPr>
          <w:rStyle w:val="Znakypropoznmkupodarou"/>
        </w:rPr>
        <w:footnoteRef/>
      </w:r>
      <w:r>
        <w:rPr>
          <w:vertAlign w:val="superscript"/>
        </w:rPr>
        <w:tab/>
        <w:t>)</w:t>
      </w:r>
      <w:r>
        <w:rPr/>
        <w:t xml:space="preserve"> § 3c zákona o místních poplatcích (</w:t>
      </w:r>
      <w:r>
        <w:rPr>
          <w:i/>
        </w:rPr>
        <w:t>Základ poplatku z pobytu je počet započatých dnů pobytu, s výjimkou dne počátku pobytu.</w:t>
      </w:r>
      <w:r>
        <w:rPr/>
        <w:t>); § 3e zákona o místních poplatcích (</w:t>
      </w:r>
      <w:r>
        <w:rPr>
          <w:i/>
        </w:rPr>
        <w:t>Poplatek z pobytu se vypočte jako součin základu poplatku a sazby poplatku.</w:t>
      </w:r>
      <w:r>
        <w:rPr/>
        <w:t>)</w:t>
      </w:r>
    </w:p>
  </w:footnote>
  <w:footnote w:id="12">
    <w:p>
      <w:pPr>
        <w:pStyle w:val="Poznmkapodarou"/>
        <w:ind w:left="170" w:hanging="170"/>
        <w:jc w:val="both"/>
        <w:rPr>
          <w:i/>
          <w:i/>
        </w:rPr>
      </w:pPr>
      <w:r>
        <w:rPr>
          <w:rStyle w:val="Znakypropoznmkupodarou"/>
        </w:rPr>
        <w:footnoteRef/>
      </w:r>
      <w:r>
        <w:rPr>
          <w:vertAlign w:val="superscript"/>
        </w:rPr>
        <w:tab/>
        <w:t>)</w:t>
      </w:r>
      <w:r>
        <w:rPr/>
        <w:t xml:space="preserve"> § 3b odst. 1 zákona o místních poplatcích (</w:t>
      </w:r>
      <w:r>
        <w:rPr>
          <w:i/>
        </w:rPr>
        <w:t>Od poplatku z pobytu je osvobozena osoba</w:t>
      </w:r>
    </w:p>
    <w:p>
      <w:pPr>
        <w:pStyle w:val="Poznmkapodarou"/>
        <w:numPr>
          <w:ilvl w:val="0"/>
          <w:numId w:val="7"/>
        </w:numPr>
        <w:jc w:val="both"/>
        <w:rPr>
          <w:i/>
          <w:i/>
        </w:rPr>
      </w:pPr>
      <w:r>
        <w:rPr>
          <w:i/>
        </w:rPr>
        <w:t>nevidomá, osoba, která je považována za závislou na pomoci jiné fyzické osoby podle zákona upravujícího sociální služby, osoba, která je držitelem průkazu ZTP/P, a její průvodce,</w:t>
      </w:r>
    </w:p>
    <w:p>
      <w:pPr>
        <w:pStyle w:val="Poznmkapodarou"/>
        <w:numPr>
          <w:ilvl w:val="0"/>
          <w:numId w:val="7"/>
        </w:numPr>
        <w:ind w:left="555" w:hanging="357"/>
        <w:jc w:val="both"/>
        <w:rPr>
          <w:i/>
          <w:i/>
        </w:rPr>
      </w:pPr>
      <w:r>
        <w:rPr>
          <w:i/>
        </w:rPr>
        <w:t>mladší 18 let,</w:t>
      </w:r>
    </w:p>
    <w:p>
      <w:pPr>
        <w:pStyle w:val="Poznmkapodarou"/>
        <w:numPr>
          <w:ilvl w:val="0"/>
          <w:numId w:val="7"/>
        </w:numPr>
        <w:jc w:val="both"/>
        <w:rPr>
          <w:i/>
          <w:i/>
        </w:rPr>
      </w:pPr>
      <w:r>
        <w:rPr>
          <w:i/>
        </w:rPr>
        <w:t>hospitalizovaná na území obce ve zdravotnickém zařízení poskytovatele lůžkové péče s výjimkou osoby, které je poskytována lázeňská léčebně rehabilitační péče,</w:t>
      </w:r>
    </w:p>
    <w:p>
      <w:pPr>
        <w:pStyle w:val="Poznmkapodarou"/>
        <w:numPr>
          <w:ilvl w:val="0"/>
          <w:numId w:val="7"/>
        </w:numPr>
        <w:jc w:val="both"/>
        <w:rPr>
          <w:i/>
          <w:i/>
        </w:rPr>
      </w:pPr>
      <w:r>
        <w:rPr>
          <w:i/>
        </w:rPr>
        <w:t>pečující o děti na zotavovací akci nebo jiné podobné akci pro děti podle zákona  upravujícího ochranu veřejného zdraví konaných na území obce,</w:t>
      </w:r>
    </w:p>
    <w:p>
      <w:pPr>
        <w:pStyle w:val="Poznmkapodarou"/>
        <w:numPr>
          <w:ilvl w:val="0"/>
          <w:numId w:val="7"/>
        </w:numPr>
        <w:jc w:val="both"/>
        <w:rPr>
          <w:i/>
          <w:i/>
        </w:rPr>
      </w:pPr>
      <w:r>
        <w:rPr>
          <w:i/>
        </w:rPr>
        <w:t>vykonávající na území obce sezónní práci pro právnickou nebo podnikající fyzickou osobu nebo</w:t>
      </w:r>
    </w:p>
    <w:p>
      <w:pPr>
        <w:pStyle w:val="Poznmkapodarou"/>
        <w:numPr>
          <w:ilvl w:val="0"/>
          <w:numId w:val="7"/>
        </w:numPr>
        <w:ind w:left="555" w:hanging="357"/>
        <w:jc w:val="both"/>
        <w:rPr>
          <w:i/>
          <w:i/>
        </w:rPr>
      </w:pPr>
      <w:r>
        <w:rPr>
          <w:i/>
        </w:rPr>
        <w:t>pobývající na území obce</w:t>
      </w:r>
    </w:p>
    <w:p>
      <w:pPr>
        <w:pStyle w:val="Poznmkapodarou"/>
        <w:numPr>
          <w:ilvl w:val="0"/>
          <w:numId w:val="8"/>
        </w:numPr>
        <w:ind w:left="743" w:hanging="187"/>
        <w:jc w:val="both"/>
        <w:rPr>
          <w:i/>
          <w:i/>
        </w:rPr>
      </w:pPr>
      <w:r>
        <w:rPr>
          <w:i/>
        </w:rPr>
        <w:t xml:space="preserve"> </w:t>
      </w:r>
      <w:r>
        <w:rPr>
          <w:i/>
        </w:rPr>
        <w:t>ve školském zařízení pro výkon ústavní neob ochranné výchovy anebo školském zařízení pro preventivně výchovnou péči anebo v zařízení pro děti vyžadující okamžitou pomoc,</w:t>
      </w:r>
    </w:p>
    <w:p>
      <w:pPr>
        <w:pStyle w:val="Poznmkapodarou"/>
        <w:numPr>
          <w:ilvl w:val="0"/>
          <w:numId w:val="8"/>
        </w:numPr>
        <w:jc w:val="both"/>
        <w:rPr>
          <w:i/>
          <w:i/>
        </w:rPr>
      </w:pPr>
      <w:r>
        <w:rPr>
          <w:i/>
        </w:rPr>
        <w:t xml:space="preserve"> </w:t>
      </w:r>
      <w:r>
        <w:rPr>
          <w:i/>
        </w:rPr>
        <w:t>v zařízení poskytujícím ubytování podle zákona upravujícího sociální služby,</w:t>
      </w:r>
    </w:p>
    <w:p>
      <w:pPr>
        <w:pStyle w:val="Poznmkapodarou"/>
        <w:numPr>
          <w:ilvl w:val="0"/>
          <w:numId w:val="8"/>
        </w:numPr>
        <w:ind w:left="743" w:hanging="187"/>
        <w:jc w:val="both"/>
        <w:rPr>
          <w:i/>
          <w:i/>
        </w:rPr>
      </w:pPr>
      <w:r>
        <w:rPr>
          <w:i/>
        </w:rPr>
        <w:t xml:space="preserve"> </w:t>
      </w:r>
      <w:r>
        <w:rPr>
          <w:i/>
        </w:rPr>
        <w:t xml:space="preserve">v zařízení sloužícím k pomoci lidem v ohrožení nebo nouzi provozovaném veřejně prospěšným poplatníkem daně z příjmů právnických osob, nebo </w:t>
      </w:r>
    </w:p>
    <w:p>
      <w:pPr>
        <w:pStyle w:val="Poznmkapodarou"/>
        <w:numPr>
          <w:ilvl w:val="0"/>
          <w:numId w:val="8"/>
        </w:numPr>
        <w:ind w:left="743" w:hanging="187"/>
        <w:jc w:val="both"/>
        <w:rPr>
          <w:i/>
          <w:i/>
        </w:rPr>
      </w:pPr>
      <w:r>
        <w:rPr>
          <w:i/>
        </w:rPr>
        <w:t xml:space="preserve"> </w:t>
      </w:r>
      <w:r>
        <w:rPr>
          <w:i/>
        </w:rPr>
        <w:t>za účelem výkonu záchranných nebo likvidačních prací podle zákona o integrovaném záchranném systému.</w:t>
      </w:r>
      <w:r>
        <w:rPr/>
        <w:t xml:space="preserve">); </w:t>
      </w:r>
    </w:p>
    <w:p>
      <w:pPr>
        <w:pStyle w:val="Poznmkapodarou"/>
        <w:ind w:left="170" w:hanging="170"/>
        <w:jc w:val="both"/>
        <w:rPr/>
      </w:pPr>
      <w:r>
        <w:rPr/>
        <w:t>§ 3b odst. 2 zákona o místních poplatcích (</w:t>
      </w:r>
      <w:r>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Pr/>
        <w:t>);</w:t>
      </w:r>
    </w:p>
    <w:p>
      <w:pPr>
        <w:pStyle w:val="Poznmkapodarou"/>
        <w:ind w:left="170" w:hanging="0"/>
        <w:jc w:val="both"/>
        <w:rPr>
          <w:highlight w:val="green"/>
        </w:rPr>
      </w:pPr>
      <w:r>
        <w:rPr/>
        <w:t>§ 3b odst. 3 zákona o místních poplatcích (</w:t>
      </w:r>
      <w:r>
        <w:rPr>
          <w:i/>
        </w:rPr>
        <w:t>Sezónní prací podle odstavce 1 písm. e) je práce, která je závislá na střídání ročních období a zpravidla se každým rokem opakuje.</w:t>
      </w:r>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decimal"/>
      <w:lvlText w:val="%1)"/>
      <w:lvlJc w:val="left"/>
      <w:pPr>
        <w:tabs>
          <w:tab w:val="num" w:pos="357"/>
        </w:tabs>
        <w:ind w:left="357" w:hanging="35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357"/>
        </w:tabs>
        <w:ind w:left="357" w:hanging="357"/>
      </w:pPr>
      <w:rPr>
        <w:dstrike w:val="false"/>
        <w:strike w:val="false"/>
        <w:rFonts w:eastAsia="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lvl w:ilvl="0">
      <w:start w:val="1"/>
      <w:numFmt w:val="lowerLetter"/>
      <w:lvlText w:val="%1)"/>
      <w:lvlJc w:val="left"/>
      <w:pPr>
        <w:ind w:left="555" w:hanging="360"/>
      </w:pPr>
      <w:rPr>
        <w:sz w:val="20"/>
        <w:i/>
        <w:szCs w:val="20"/>
        <w:rFonts w:cs="Times New Roman"/>
      </w:rPr>
    </w:lvl>
    <w:lvl w:ilvl="1">
      <w:start w:val="1"/>
      <w:numFmt w:val="lowerLetter"/>
      <w:lvlText w:val="%2."/>
      <w:lvlJc w:val="left"/>
      <w:pPr>
        <w:ind w:left="1275" w:hanging="360"/>
      </w:pPr>
    </w:lvl>
    <w:lvl w:ilvl="2">
      <w:start w:val="1"/>
      <w:numFmt w:val="lowerRoman"/>
      <w:lvlText w:val="%3."/>
      <w:lvlJc w:val="right"/>
      <w:pPr>
        <w:ind w:left="1995" w:hanging="180"/>
      </w:pPr>
    </w:lvl>
    <w:lvl w:ilvl="3">
      <w:start w:val="1"/>
      <w:numFmt w:val="decimal"/>
      <w:lvlText w:val="%4."/>
      <w:lvlJc w:val="left"/>
      <w:pPr>
        <w:ind w:left="2715" w:hanging="360"/>
      </w:pPr>
    </w:lvl>
    <w:lvl w:ilvl="4">
      <w:start w:val="1"/>
      <w:numFmt w:val="lowerLetter"/>
      <w:lvlText w:val="%5."/>
      <w:lvlJc w:val="left"/>
      <w:pPr>
        <w:ind w:left="3435" w:hanging="360"/>
      </w:pPr>
    </w:lvl>
    <w:lvl w:ilvl="5">
      <w:start w:val="1"/>
      <w:numFmt w:val="lowerRoman"/>
      <w:lvlText w:val="%6."/>
      <w:lvlJc w:val="right"/>
      <w:pPr>
        <w:ind w:left="4155" w:hanging="180"/>
      </w:pPr>
    </w:lvl>
    <w:lvl w:ilvl="6">
      <w:start w:val="1"/>
      <w:numFmt w:val="decimal"/>
      <w:lvlText w:val="%7."/>
      <w:lvlJc w:val="left"/>
      <w:pPr>
        <w:ind w:left="4875" w:hanging="360"/>
      </w:pPr>
    </w:lvl>
    <w:lvl w:ilvl="7">
      <w:start w:val="1"/>
      <w:numFmt w:val="lowerLetter"/>
      <w:lvlText w:val="%8."/>
      <w:lvlJc w:val="left"/>
      <w:pPr>
        <w:ind w:left="5595" w:hanging="360"/>
      </w:pPr>
    </w:lvl>
    <w:lvl w:ilvl="8">
      <w:start w:val="1"/>
      <w:numFmt w:val="lowerRoman"/>
      <w:lvlText w:val="%9."/>
      <w:lvlJc w:val="right"/>
      <w:pPr>
        <w:ind w:left="6315" w:hanging="180"/>
      </w:pPr>
    </w:lvl>
  </w:abstractNum>
  <w:abstractNum w:abstractNumId="6">
    <w:lvl w:ilvl="0">
      <w:start w:val="1"/>
      <w:numFmt w:val="decimal"/>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7">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lvl w:ilvl="0">
      <w:start w:val="1"/>
      <w:numFmt w:val="decimal"/>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e02"/>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qFormat/>
    <w:rsid w:val="009958f0"/>
    <w:pPr>
      <w:keepNext w:val="true"/>
      <w:jc w:val="center"/>
      <w:outlineLvl w:val="0"/>
    </w:pPr>
    <w:rPr>
      <w:rFonts w:eastAsia="Arial Unicode MS"/>
      <w:b/>
      <w:bCs/>
    </w:rPr>
  </w:style>
  <w:style w:type="character" w:styleId="DefaultParagraphFont" w:default="1">
    <w:name w:val="Default Paragraph Font"/>
    <w:uiPriority w:val="1"/>
    <w:semiHidden/>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561e02"/>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semiHidden/>
    <w:qFormat/>
    <w:rsid w:val="00941400"/>
    <w:rPr>
      <w:sz w:val="24"/>
      <w:szCs w:val="24"/>
      <w:lang w:val="cs-CZ" w:eastAsia="cs-CZ" w:bidi="ar-SA"/>
    </w:rPr>
  </w:style>
  <w:style w:type="character" w:styleId="Nadpis1Char" w:customStyle="1">
    <w:name w:val="Nadpis 1 Char"/>
    <w:qFormat/>
    <w:rsid w:val="009958f0"/>
    <w:rPr>
      <w:rFonts w:eastAsia="Arial Unicode MS"/>
      <w:b/>
      <w:bCs/>
      <w:sz w:val="24"/>
      <w:szCs w:val="24"/>
    </w:rPr>
  </w:style>
  <w:style w:type="character" w:styleId="Zkladntextodsazen3Char" w:customStyle="1">
    <w:name w:val="Základní text odsazený 3 Char"/>
    <w:link w:val="BodyTextIndent3"/>
    <w:qFormat/>
    <w:rsid w:val="009958f0"/>
    <w:rPr>
      <w:sz w:val="16"/>
      <w:szCs w:val="16"/>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941400"/>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Odsazentlatextu">
    <w:name w:val="Body Text Indent"/>
    <w:basedOn w:val="Normal"/>
    <w:link w:val="ZkladntextodsazenChar"/>
    <w:rsid w:val="00561e02"/>
    <w:pPr>
      <w:ind w:left="708" w:firstLine="357"/>
      <w:jc w:val="both"/>
    </w:pPr>
    <w:rPr/>
  </w:style>
  <w:style w:type="paragraph" w:styleId="Poznmkapodarou">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Nzev"/>
    <w:qFormat/>
    <w:rsid w:val="00561e02"/>
    <w:pPr/>
    <w:rPr>
      <w:rFonts w:ascii="Cambria" w:hAnsi="Cambria" w:cs="Cambria"/>
    </w:rPr>
  </w:style>
  <w:style w:type="paragraph" w:styleId="Nzev">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fals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basedOn w:val="Normal"/>
    <w:qFormat/>
    <w:rsid w:val="00807a6e"/>
    <w:pPr/>
    <w:rPr/>
  </w:style>
  <w:style w:type="paragraph" w:styleId="Normln2" w:customStyle="1">
    <w:name w:val="Normální2"/>
    <w:qFormat/>
    <w:rsid w:val="009958f0"/>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BodyTextIndent3">
    <w:name w:val="Body Text Indent 3"/>
    <w:basedOn w:val="Normal"/>
    <w:link w:val="Zkladntextodsazen3Char"/>
    <w:qFormat/>
    <w:rsid w:val="009958f0"/>
    <w:pPr>
      <w:spacing w:before="0" w:after="120"/>
      <w:ind w:left="283" w:hanging="0"/>
    </w:pPr>
    <w:rPr>
      <w:sz w:val="16"/>
      <w:szCs w:val="16"/>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D3B45-0AD4-4350-B177-7D20B0C41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LibreOffice/6.4.3.2$Windows_X86_64 LibreOffice_project/747b5d0ebf89f41c860ec2a39efd7cb15b54f2d8</Application>
  <Pages>3</Pages>
  <Words>1128</Words>
  <Characters>6291</Characters>
  <CharactersWithSpaces>7334</CharactersWithSpaces>
  <Paragraphs>77</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2022-11-21T08:16:00Z</dcterms:created>
  <dc:creator>Mgr. Martin Pech</dc:creator>
  <dc:description/>
  <dc:language>cs-CZ</dc:language>
  <cp:lastModifiedBy/>
  <cp:lastPrinted>2023-04-24T07:36:32Z</cp:lastPrinted>
  <dcterms:modified xsi:type="dcterms:W3CDTF">2023-04-27T08:55:12Z</dcterms:modified>
  <cp:revision>9</cp:revision>
  <dc:subject/>
  <dc:title>ODK9</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MV ČR</vt:lpwstr>
  </property>
</Properties>
</file>