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Obec Sýkořice</w:t>
        <w:br/>
        <w:t>Zastupitelstvo obce Sýkořice</w:t>
      </w:r>
    </w:p>
    <w:p>
      <w:pPr>
        <w:pStyle w:val="Heading1"/>
        <w:bidi w:val="0"/>
        <w:ind w:hanging="0" w:start="0"/>
        <w:rPr/>
      </w:pPr>
      <w:r>
        <w:rPr/>
        <w:t>Obecně závazná vyhláška obce Sýkořice</w:t>
        <w:br/>
        <w:t>o místním poplatku za užívání veřejného prostranství</w:t>
      </w:r>
    </w:p>
    <w:p>
      <w:pPr>
        <w:pStyle w:val="UvodniVeta"/>
        <w:bidi w:val="0"/>
        <w:rPr/>
      </w:pPr>
      <w:r>
        <w:rPr/>
        <w:t>Zastupitelstvo obce Sýkořice se na svém zasedání dne </w:t>
      </w:r>
      <w:r>
        <w:rPr/>
        <w:t>7</w:t>
      </w:r>
      <w:r>
        <w:rPr/>
        <w:t xml:space="preserve">. </w:t>
      </w:r>
      <w:r>
        <w:rPr/>
        <w:t>prosince</w:t>
      </w:r>
      <w:r>
        <w:rPr/>
        <w:t xml:space="preserve"> 202</w:t>
      </w:r>
      <w:r>
        <w:rPr/>
        <w:t>3</w:t>
      </w:r>
      <w:r>
        <w:rPr/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bidi w:val="0"/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Sýkořice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FootnoteReference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dočasných staveb sloužících pro poskytování prodeje,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vyhrazení trvalého parkovacího místa.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3</w:t>
        <w:br/>
        <w:t>Veřejná prostranství</w:t>
      </w:r>
    </w:p>
    <w:p>
      <w:pPr>
        <w:pStyle w:val="Odstavec"/>
        <w:bidi w:val="0"/>
        <w:rPr/>
      </w:pPr>
      <w:r>
        <w:rPr/>
        <w:t>Poplatek se platí za užívání veřejného prostranství, kterým se rozumí pozemkové parcely katastru nemovitostí v majetku obce Sýkořice v katastrální území Sýkořice.</w:t>
      </w:r>
    </w:p>
    <w:p>
      <w:pPr>
        <w:pStyle w:val="Heading2"/>
        <w:bidi w:val="0"/>
        <w:ind w:hanging="0" w:start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FootnoteReference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Heading2"/>
        <w:bidi w:val="0"/>
        <w:ind w:hanging="0" w:start="0"/>
        <w:rPr/>
      </w:pPr>
      <w:r>
        <w:rPr/>
        <w:t>Čl. 5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Obec stanovuje poplatek paušální částkou: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dočasných staveb sloužících pro poskytování prodeje 700 Kč za týden,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sloužících pro poskytování prodeje 700 Kč za týden,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vyhrazení trvalého parkovacího místa 300 Kč za rok.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Volbu placení poplatku paušální částkou včetně výběru varianty paušální částky sdělí poplatník správci poplatku v rámci ohlášení dle čl. 4 odst. 2.</w:t>
      </w:r>
    </w:p>
    <w:p>
      <w:pPr>
        <w:pStyle w:val="Heading2"/>
        <w:bidi w:val="0"/>
        <w:ind w:hanging="0" w:start="0"/>
        <w:rPr/>
      </w:pPr>
      <w:r>
        <w:rPr/>
        <w:t>Čl. 6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v den ukončení užívání veřejného prostranství.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stanovený paušální částkou je splatný do 30 dnů od počátku každého poplatkového období.</w:t>
      </w:r>
    </w:p>
    <w:p>
      <w:pPr>
        <w:pStyle w:val="Heading2"/>
        <w:bidi w:val="0"/>
        <w:ind w:hanging="0" w:start="0"/>
        <w:rPr/>
      </w:pPr>
      <w:r>
        <w:rPr/>
        <w:t>Čl. 7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Poplatek se neplatí: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 xml:space="preserve">Zrušuje se obecně závazná vyhláška č. 1/2019, Obecně závazná vyhláška o místních poplatcích, ze dne </w:t>
      </w:r>
      <w:r>
        <w:rPr/>
        <w:t>13</w:t>
      </w:r>
      <w:r>
        <w:rPr/>
        <w:t xml:space="preserve">. </w:t>
      </w:r>
      <w:r>
        <w:rPr/>
        <w:t>prosince</w:t>
      </w:r>
      <w:r>
        <w:rPr/>
        <w:t xml:space="preserve"> 20</w:t>
      </w:r>
      <w:r>
        <w:rPr/>
        <w:t>19</w:t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Jaroslav Schneider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Zdeněk Dvořák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7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start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start="170" w:end="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LibreOffice/7.6.2.1$Windows_X86_64 LibreOffice_project/56f7684011345957bbf33a7ee678afaf4d2ba333</Application>
  <AppVersion>15.0000</AppVersion>
  <Pages>3</Pages>
  <Words>553</Words>
  <Characters>3139</Characters>
  <CharactersWithSpaces>3634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2023-12-12T05:26:36Z</cp:lastPrinted>
  <dcterms:modified xsi:type="dcterms:W3CDTF">2023-12-12T05:54:56Z</dcterms:modified>
  <cp:revision>3</cp:revision>
  <dc:subject/>
  <dc:title/>
</cp:coreProperties>
</file>