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7E77" w14:textId="77777777" w:rsidR="003E63E2" w:rsidRDefault="003E63E2" w:rsidP="003E63E2">
      <w:pPr>
        <w:pStyle w:val="Nzev"/>
      </w:pPr>
      <w:r>
        <w:rPr>
          <w:sz w:val="28"/>
          <w:szCs w:val="26"/>
        </w:rPr>
        <w:t>Obec Lhota</w:t>
      </w:r>
      <w:r>
        <w:rPr>
          <w:sz w:val="28"/>
          <w:szCs w:val="26"/>
        </w:rPr>
        <w:br/>
        <w:t>Zastupitelstvo obce Lhota</w:t>
      </w:r>
      <w:r>
        <w:br/>
      </w:r>
      <w:r>
        <w:br/>
      </w:r>
      <w:r w:rsidR="00464839" w:rsidRPr="007C29FF">
        <w:rPr>
          <w:noProof/>
        </w:rPr>
        <w:drawing>
          <wp:inline distT="0" distB="0" distL="0" distR="0" wp14:anchorId="6A494D7E" wp14:editId="192ECEFD">
            <wp:extent cx="857250" cy="1076325"/>
            <wp:effectExtent l="0" t="0" r="0" b="0"/>
            <wp:docPr id="1" name="Obrázek 1" descr="Obsah obrázku ze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ze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919E" w14:textId="21CFEFFA" w:rsidR="003E63E2" w:rsidRPr="00587890" w:rsidRDefault="003E63E2" w:rsidP="00587890">
      <w:pPr>
        <w:pStyle w:val="Nadpis1"/>
        <w:suppressAutoHyphens/>
        <w:autoSpaceDN w:val="0"/>
        <w:spacing w:before="238" w:after="238"/>
        <w:jc w:val="center"/>
        <w:textAlignment w:val="baseline"/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</w:pPr>
      <w:bookmarkStart w:id="0" w:name="_Hlk199920162"/>
      <w:bookmarkStart w:id="1" w:name="_Hlk199803701"/>
      <w:r w:rsidRPr="00587890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Obecně závazná vyhláška obce Lhota</w:t>
      </w:r>
      <w:r w:rsidRPr="00587890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br/>
      </w:r>
      <w:r w:rsidR="008729AA" w:rsidRPr="008729AA">
        <w:rPr>
          <w:rFonts w:ascii="Arial" w:eastAsia="PingFang SC" w:hAnsi="Arial" w:cs="Arial Unicode MS"/>
          <w:kern w:val="3"/>
          <w:sz w:val="24"/>
          <w:szCs w:val="24"/>
          <w:lang w:eastAsia="zh-CN" w:bidi="hi-IN"/>
        </w:rPr>
        <w:t>o stanovení obecního systému odpadového hospodářství</w:t>
      </w:r>
    </w:p>
    <w:bookmarkEnd w:id="0"/>
    <w:p w14:paraId="26A2C4FD" w14:textId="00C25334" w:rsidR="00681245" w:rsidRDefault="003E63E2" w:rsidP="00681245">
      <w:pPr>
        <w:pStyle w:val="Nadpis1"/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</w:pPr>
      <w:r w:rsidRPr="00587890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Zastupitelstvo obce Lhota se na svém zasedání </w:t>
      </w:r>
      <w:r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dne </w:t>
      </w:r>
      <w:r w:rsidR="00681245"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9</w:t>
      </w:r>
      <w:r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. </w:t>
      </w:r>
      <w:r w:rsidR="00681245"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června</w:t>
      </w:r>
      <w:r w:rsid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2025</w:t>
      </w:r>
      <w:r w:rsidRPr="00587890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usnesením č. </w:t>
      </w:r>
      <w:bookmarkEnd w:id="1"/>
      <w:r w:rsidR="004051F9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160 </w:t>
      </w:r>
      <w:r w:rsidRPr="00587890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usneslo </w:t>
      </w:r>
      <w:r w:rsid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na změně </w:t>
      </w:r>
      <w:r w:rsidR="00681245"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Obecně závazn</w:t>
      </w:r>
      <w:r w:rsid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é</w:t>
      </w:r>
      <w:r w:rsidR="00681245"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vyhlášk</w:t>
      </w:r>
      <w:r w:rsid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y</w:t>
      </w:r>
      <w:r w:rsidR="00681245"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obce Lhota</w:t>
      </w:r>
      <w:r w:rsid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</w:t>
      </w:r>
      <w:r w:rsidR="00681245"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o stanovení obecního systému odpadového hospodářství</w:t>
      </w:r>
      <w:r w:rsid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ze </w:t>
      </w:r>
      <w:r w:rsidR="00681245" w:rsidRP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dne 17. prosince 2024</w:t>
      </w:r>
      <w:r w:rsidR="00681245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. </w:t>
      </w:r>
    </w:p>
    <w:p w14:paraId="749233EF" w14:textId="4389B360" w:rsidR="00560DED" w:rsidRPr="00FB6AE5" w:rsidRDefault="007C59FA" w:rsidP="00A3762B">
      <w:pPr>
        <w:pStyle w:val="Nadpis1"/>
        <w:rPr>
          <w:rFonts w:ascii="Arial" w:hAnsi="Arial" w:cs="Arial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Obec </w:t>
      </w:r>
      <w:r w:rsidR="003E63E2" w:rsidRPr="00587890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vyda</w:t>
      </w:r>
      <w:r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la</w:t>
      </w:r>
      <w:r w:rsidR="003E63E2" w:rsidRPr="00587890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</w:t>
      </w:r>
      <w:r w:rsidR="008729AA" w:rsidRPr="008729AA">
        <w:rPr>
          <w:rFonts w:ascii="Arial" w:eastAsia="Arial" w:hAnsi="Arial" w:cs="Arial"/>
          <w:b w:val="0"/>
          <w:bCs w:val="0"/>
          <w:kern w:val="3"/>
          <w:sz w:val="22"/>
          <w:szCs w:val="22"/>
          <w:lang w:eastAsia="zh-CN" w:bidi="hi-IN"/>
        </w:rPr>
        <w:t>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27DF5A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99F2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F367B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DEF5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88B243" w14:textId="77777777" w:rsidR="008729AA" w:rsidRDefault="008729AA" w:rsidP="008729A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729AA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>
        <w:rPr>
          <w:rFonts w:ascii="Arial" w:hAnsi="Arial" w:cs="Arial"/>
          <w:sz w:val="22"/>
          <w:szCs w:val="22"/>
        </w:rPr>
        <w:t>Lhota.</w:t>
      </w:r>
    </w:p>
    <w:p w14:paraId="392B6053" w14:textId="77777777" w:rsidR="006D43EC" w:rsidRPr="008729AA" w:rsidRDefault="006D43EC" w:rsidP="006D43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1B1B88" w14:textId="77777777" w:rsidR="006D43EC" w:rsidRDefault="006D43EC" w:rsidP="006D43EC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AFBFFE8" w14:textId="77777777" w:rsidR="006D43EC" w:rsidRDefault="006D43EC" w:rsidP="006D43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953667" w14:textId="77777777" w:rsidR="006D43EC" w:rsidRDefault="006D43EC" w:rsidP="006D43EC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755066E" w14:textId="77777777" w:rsidR="006D43EC" w:rsidRDefault="006D43EC" w:rsidP="006D43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E46AEE" w14:textId="77777777" w:rsidR="008729AA" w:rsidRPr="006D43EC" w:rsidRDefault="006D43EC" w:rsidP="009D06FC">
      <w:pPr>
        <w:numPr>
          <w:ilvl w:val="0"/>
          <w:numId w:val="17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43EC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odpadem. </w:t>
      </w:r>
    </w:p>
    <w:p w14:paraId="6CE6CC14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6D300E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79AF35C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3E76F58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4B50A9C" w14:textId="77777777" w:rsidR="0024722A" w:rsidRPr="00FB6AE5" w:rsidRDefault="00A3762B" w:rsidP="00A3762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64FE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742567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Biologick</w:t>
      </w:r>
      <w:r w:rsidR="001476FD" w:rsidRPr="008E576D">
        <w:rPr>
          <w:rFonts w:ascii="Arial" w:hAnsi="Arial" w:cs="Arial"/>
          <w:bCs/>
          <w:iCs/>
          <w:color w:val="000000"/>
        </w:rPr>
        <w:t>é</w:t>
      </w:r>
      <w:r w:rsidRPr="008E576D">
        <w:rPr>
          <w:rFonts w:ascii="Arial" w:hAnsi="Arial" w:cs="Arial"/>
          <w:bCs/>
          <w:iCs/>
          <w:color w:val="000000"/>
        </w:rPr>
        <w:t xml:space="preserve"> odpady </w:t>
      </w:r>
      <w:r w:rsidR="00D226C7" w:rsidRPr="008E576D">
        <w:rPr>
          <w:rFonts w:ascii="Arial" w:hAnsi="Arial" w:cs="Arial"/>
          <w:bCs/>
          <w:iCs/>
          <w:color w:val="000000"/>
        </w:rPr>
        <w:t>rostlinného původu</w:t>
      </w:r>
      <w:r w:rsidRPr="008E576D">
        <w:rPr>
          <w:rFonts w:ascii="Arial" w:hAnsi="Arial" w:cs="Arial"/>
          <w:bCs/>
          <w:iCs/>
        </w:rPr>
        <w:t>,</w:t>
      </w:r>
    </w:p>
    <w:p w14:paraId="0BCB959F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Papír,</w:t>
      </w:r>
    </w:p>
    <w:p w14:paraId="1C37A6E4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Plasty</w:t>
      </w:r>
      <w:r w:rsidR="00745703" w:rsidRPr="008E576D">
        <w:rPr>
          <w:rFonts w:ascii="Arial" w:hAnsi="Arial" w:cs="Arial"/>
          <w:bCs/>
          <w:iCs/>
          <w:color w:val="000000"/>
        </w:rPr>
        <w:t xml:space="preserve"> včetně PET lahví</w:t>
      </w:r>
      <w:r w:rsidRPr="008E576D">
        <w:rPr>
          <w:rFonts w:ascii="Arial" w:hAnsi="Arial" w:cs="Arial"/>
          <w:bCs/>
          <w:iCs/>
          <w:color w:val="000000"/>
        </w:rPr>
        <w:t>,</w:t>
      </w:r>
    </w:p>
    <w:p w14:paraId="1E0A402A" w14:textId="77777777" w:rsidR="009B77CC" w:rsidRPr="008E576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Sklo,</w:t>
      </w:r>
    </w:p>
    <w:p w14:paraId="0A4C3BBD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Kovy,</w:t>
      </w:r>
    </w:p>
    <w:p w14:paraId="299C8925" w14:textId="77777777" w:rsidR="0024722A" w:rsidRPr="008E576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576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8E576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5460EDB" w14:textId="77777777" w:rsidR="00053446" w:rsidRPr="008E576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8E576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BB4CD2A" w14:textId="77777777" w:rsidR="00A3762B" w:rsidRDefault="00E66B2E" w:rsidP="00A3762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576D">
        <w:rPr>
          <w:rFonts w:ascii="Arial" w:hAnsi="Arial" w:cs="Arial"/>
          <w:iCs/>
          <w:sz w:val="22"/>
          <w:szCs w:val="22"/>
        </w:rPr>
        <w:t>Jedlé oleje a tuky</w:t>
      </w:r>
      <w:r w:rsidR="00A3762B" w:rsidRPr="00A3762B">
        <w:rPr>
          <w:rFonts w:ascii="Arial" w:hAnsi="Arial" w:cs="Arial"/>
          <w:iCs/>
          <w:sz w:val="22"/>
          <w:szCs w:val="22"/>
        </w:rPr>
        <w:t xml:space="preserve"> </w:t>
      </w:r>
    </w:p>
    <w:p w14:paraId="022F836D" w14:textId="77777777" w:rsidR="00A3762B" w:rsidRDefault="00A3762B" w:rsidP="00A3762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Textil</w:t>
      </w:r>
    </w:p>
    <w:p w14:paraId="73D1A4CB" w14:textId="77777777" w:rsidR="00A3762B" w:rsidRPr="008E576D" w:rsidRDefault="00A3762B" w:rsidP="00A3762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E576D">
        <w:rPr>
          <w:rFonts w:ascii="Arial" w:hAnsi="Arial" w:cs="Arial"/>
          <w:iCs/>
          <w:sz w:val="22"/>
          <w:szCs w:val="22"/>
        </w:rPr>
        <w:t>Směsný komunální odpad,</w:t>
      </w:r>
    </w:p>
    <w:p w14:paraId="4CABE26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91A68E7" w14:textId="77777777" w:rsidR="002854DF" w:rsidRDefault="0024722A" w:rsidP="002854D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3E63E2">
        <w:rPr>
          <w:rFonts w:ascii="Arial" w:hAnsi="Arial" w:cs="Arial"/>
          <w:sz w:val="22"/>
          <w:szCs w:val="22"/>
        </w:rPr>
        <w:t>, h)</w:t>
      </w:r>
      <w:r w:rsidR="00D226C7">
        <w:rPr>
          <w:rFonts w:ascii="Arial" w:hAnsi="Arial" w:cs="Arial"/>
          <w:sz w:val="22"/>
          <w:szCs w:val="22"/>
        </w:rPr>
        <w:t xml:space="preserve"> a </w:t>
      </w:r>
      <w:r w:rsidR="00A3762B">
        <w:rPr>
          <w:rFonts w:ascii="Arial" w:hAnsi="Arial" w:cs="Arial"/>
          <w:sz w:val="22"/>
          <w:szCs w:val="22"/>
        </w:rPr>
        <w:t>i</w:t>
      </w:r>
      <w:r w:rsidR="00D226C7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0537690C" w14:textId="77777777" w:rsidR="002854DF" w:rsidRDefault="002854DF" w:rsidP="002854DF">
      <w:pPr>
        <w:ind w:left="360"/>
        <w:rPr>
          <w:rFonts w:ascii="Arial" w:hAnsi="Arial" w:cs="Arial"/>
          <w:sz w:val="22"/>
          <w:szCs w:val="22"/>
        </w:rPr>
      </w:pPr>
    </w:p>
    <w:p w14:paraId="39C5A00A" w14:textId="3F03C122" w:rsidR="002854DF" w:rsidRPr="002854DF" w:rsidRDefault="002854DF" w:rsidP="002854D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854D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711E96E0" w14:textId="77777777" w:rsidR="007B599C" w:rsidRDefault="007B599C">
      <w:pPr>
        <w:jc w:val="center"/>
        <w:rPr>
          <w:rFonts w:ascii="Arial" w:hAnsi="Arial" w:cs="Arial"/>
          <w:b/>
          <w:sz w:val="22"/>
          <w:szCs w:val="22"/>
        </w:rPr>
      </w:pPr>
    </w:p>
    <w:p w14:paraId="3D8F03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8C6700" w14:textId="77777777" w:rsidR="001F2314" w:rsidRPr="001F2314" w:rsidRDefault="001F2314" w:rsidP="001F23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F2314">
        <w:rPr>
          <w:rFonts w:ascii="Arial" w:hAnsi="Arial" w:cs="Arial"/>
          <w:b/>
          <w:bCs/>
          <w:sz w:val="22"/>
          <w:szCs w:val="22"/>
          <w:u w:val="none"/>
        </w:rPr>
        <w:t>Shromažďování tříděného komunálního odpadu</w:t>
      </w:r>
    </w:p>
    <w:p w14:paraId="4F584776" w14:textId="77777777" w:rsidR="001F2314" w:rsidRPr="001F2314" w:rsidRDefault="001F2314" w:rsidP="001F23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8BA5941" w14:textId="77777777" w:rsidR="001F2314" w:rsidRDefault="0024722A" w:rsidP="000B48C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B48CA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0B48C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B48CA">
        <w:rPr>
          <w:rFonts w:ascii="Arial" w:hAnsi="Arial" w:cs="Arial"/>
          <w:sz w:val="22"/>
          <w:szCs w:val="22"/>
        </w:rPr>
        <w:t>, kter</w:t>
      </w:r>
      <w:r w:rsidR="000B48CA" w:rsidRPr="000B48CA">
        <w:rPr>
          <w:rFonts w:ascii="Arial" w:hAnsi="Arial" w:cs="Arial"/>
          <w:sz w:val="22"/>
          <w:szCs w:val="22"/>
        </w:rPr>
        <w:t>é</w:t>
      </w:r>
      <w:r w:rsidR="005F0210" w:rsidRPr="000B48CA">
        <w:rPr>
          <w:rFonts w:ascii="Arial" w:hAnsi="Arial" w:cs="Arial"/>
          <w:sz w:val="22"/>
          <w:szCs w:val="22"/>
        </w:rPr>
        <w:t xml:space="preserve"> jsou</w:t>
      </w:r>
      <w:r w:rsidR="000B48CA" w:rsidRPr="000B48CA">
        <w:rPr>
          <w:rFonts w:ascii="Arial" w:hAnsi="Arial" w:cs="Arial"/>
          <w:sz w:val="22"/>
          <w:szCs w:val="22"/>
        </w:rPr>
        <w:t xml:space="preserve"> umístěny na stanovištích</w:t>
      </w:r>
      <w:r w:rsidR="001F2314">
        <w:rPr>
          <w:rFonts w:ascii="Arial" w:hAnsi="Arial" w:cs="Arial"/>
          <w:sz w:val="22"/>
          <w:szCs w:val="22"/>
        </w:rPr>
        <w:t>:</w:t>
      </w:r>
    </w:p>
    <w:p w14:paraId="6FFECEDA" w14:textId="77777777" w:rsidR="001F2314" w:rsidRDefault="001F2314" w:rsidP="005D79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1261" w:type="dxa"/>
        <w:tblLook w:val="04A0" w:firstRow="1" w:lastRow="0" w:firstColumn="1" w:lastColumn="0" w:noHBand="0" w:noVBand="1"/>
      </w:tblPr>
      <w:tblGrid>
        <w:gridCol w:w="2033"/>
        <w:gridCol w:w="718"/>
        <w:gridCol w:w="681"/>
        <w:gridCol w:w="608"/>
        <w:gridCol w:w="669"/>
        <w:gridCol w:w="669"/>
      </w:tblGrid>
      <w:tr w:rsidR="00980DAC" w14:paraId="3EACCE20" w14:textId="77777777" w:rsidTr="00740F45"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282E6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Stanoviště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47538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papír</w:t>
            </w: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199A4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</w:t>
            </w:r>
          </w:p>
        </w:tc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02089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sklo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D2C2B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kovy</w:t>
            </w:r>
          </w:p>
        </w:tc>
        <w:tc>
          <w:tcPr>
            <w:tcW w:w="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445F7" w14:textId="77777777" w:rsidR="00980DAC" w:rsidRDefault="00980DAC" w:rsidP="005D79A9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textil</w:t>
            </w:r>
          </w:p>
        </w:tc>
      </w:tr>
      <w:tr w:rsidR="00CD1C8D" w14:paraId="113E318D" w14:textId="77777777" w:rsidTr="00FA31E9"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6C80B6" w14:textId="77777777" w:rsidR="00CD1C8D" w:rsidRDefault="00CD1C8D" w:rsidP="00CD1C8D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Náves</w:t>
            </w:r>
          </w:p>
        </w:tc>
        <w:tc>
          <w:tcPr>
            <w:tcW w:w="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B928CDA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324CA8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B38B1D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ECDFAF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684DF1B2" w14:textId="7B0BA849" w:rsidR="00CD1C8D" w:rsidRPr="00FA31E9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31E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CD1C8D" w14:paraId="15D1DA7B" w14:textId="77777777" w:rsidTr="00A2343A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FFB9AE" w14:textId="77777777" w:rsidR="00CD1C8D" w:rsidRDefault="00CD1C8D" w:rsidP="00CD1C8D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82F852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7D066D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86C7CFC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03A3FD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B715F4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CD1C8D" w14:paraId="242A4FCA" w14:textId="77777777" w:rsidTr="00A2343A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B753F0" w14:textId="77777777" w:rsidR="00CD1C8D" w:rsidRDefault="00CD1C8D" w:rsidP="00CD1C8D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Hájovně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1BDAF4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ABA865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967F7CB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D10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8E323F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CD1C8D" w14:paraId="5E7C0041" w14:textId="77777777" w:rsidTr="00FA31E9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43B502" w14:textId="77777777" w:rsidR="00CD1C8D" w:rsidRDefault="00CD1C8D" w:rsidP="00CD1C8D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Zátiší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E83AFD1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FCD791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AE6AC38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69B251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EA9C53" w14:textId="74795359" w:rsidR="00CD1C8D" w:rsidRPr="00A2343A" w:rsidRDefault="00FA31E9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CD1C8D" w14:paraId="336847B5" w14:textId="77777777" w:rsidTr="00A2343A"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22B13A" w14:textId="77777777" w:rsidR="00CD1C8D" w:rsidRDefault="00CD1C8D" w:rsidP="00CD1C8D">
            <w:pPr>
              <w:tabs>
                <w:tab w:val="num" w:pos="540"/>
                <w:tab w:val="num" w:pos="92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Ploskov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</w:tcPr>
          <w:p w14:paraId="0BF5E254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72F86556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14:paraId="3E54969E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230756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DD4336" w14:textId="77777777" w:rsidR="00CD1C8D" w:rsidRPr="00A2343A" w:rsidRDefault="00CD1C8D" w:rsidP="00CD1C8D">
            <w:pPr>
              <w:tabs>
                <w:tab w:val="num" w:pos="540"/>
                <w:tab w:val="num" w:pos="92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343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</w:tbl>
    <w:p w14:paraId="4293C3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BEAED5" w14:textId="77777777" w:rsidR="0024722A" w:rsidRPr="00FB6AE5" w:rsidRDefault="0024722A" w:rsidP="000B48C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1340E5">
        <w:rPr>
          <w:rFonts w:ascii="Arial" w:hAnsi="Arial" w:cs="Arial"/>
          <w:sz w:val="22"/>
          <w:szCs w:val="22"/>
        </w:rPr>
        <w:t xml:space="preserve"> (kontejnery)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6345EBD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761F88" w14:textId="77777777" w:rsidR="0024722A" w:rsidRPr="008E576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P</w:t>
      </w:r>
      <w:r w:rsidR="0024722A" w:rsidRPr="008E576D">
        <w:rPr>
          <w:rFonts w:ascii="Arial" w:hAnsi="Arial" w:cs="Arial"/>
          <w:bCs/>
          <w:iCs/>
          <w:color w:val="000000"/>
        </w:rPr>
        <w:t>apír</w:t>
      </w:r>
      <w:r w:rsidR="000B48CA" w:rsidRPr="008E576D">
        <w:rPr>
          <w:rFonts w:ascii="Arial" w:hAnsi="Arial" w:cs="Arial"/>
          <w:bCs/>
          <w:iCs/>
          <w:color w:val="000000"/>
        </w:rPr>
        <w:t xml:space="preserve"> barva modrá</w:t>
      </w:r>
      <w:r w:rsidR="0024722A" w:rsidRPr="008E576D">
        <w:rPr>
          <w:rFonts w:ascii="Arial" w:hAnsi="Arial" w:cs="Arial"/>
          <w:bCs/>
          <w:iCs/>
          <w:color w:val="000000"/>
        </w:rPr>
        <w:t>,</w:t>
      </w:r>
    </w:p>
    <w:p w14:paraId="2AA45842" w14:textId="77777777" w:rsidR="00A94551" w:rsidRPr="005E3CE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E576D">
        <w:rPr>
          <w:rFonts w:ascii="Arial" w:hAnsi="Arial" w:cs="Arial"/>
          <w:bCs/>
          <w:iCs/>
          <w:color w:val="000000"/>
        </w:rPr>
        <w:t xml:space="preserve">Plasty, PET lahve, </w:t>
      </w:r>
      <w:r w:rsidR="00452597">
        <w:rPr>
          <w:rFonts w:ascii="Arial" w:hAnsi="Arial" w:cs="Arial"/>
          <w:bCs/>
          <w:iCs/>
          <w:color w:val="000000"/>
        </w:rPr>
        <w:t xml:space="preserve">nápojové kartony, </w:t>
      </w:r>
      <w:r w:rsidRPr="008E576D">
        <w:rPr>
          <w:rFonts w:ascii="Arial" w:hAnsi="Arial" w:cs="Arial"/>
          <w:bCs/>
          <w:iCs/>
          <w:color w:val="000000"/>
        </w:rPr>
        <w:t xml:space="preserve">barva </w:t>
      </w:r>
      <w:r w:rsidR="000B48CA" w:rsidRPr="008E576D">
        <w:rPr>
          <w:rFonts w:ascii="Arial" w:hAnsi="Arial" w:cs="Arial"/>
          <w:bCs/>
          <w:iCs/>
          <w:color w:val="000000"/>
        </w:rPr>
        <w:t>žlutá</w:t>
      </w:r>
    </w:p>
    <w:p w14:paraId="7DDAAA20" w14:textId="77777777" w:rsidR="0024722A" w:rsidRPr="008E576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576D">
        <w:rPr>
          <w:rFonts w:ascii="Arial" w:hAnsi="Arial" w:cs="Arial"/>
          <w:bCs/>
          <w:iCs/>
          <w:color w:val="000000"/>
        </w:rPr>
        <w:t>S</w:t>
      </w:r>
      <w:r w:rsidR="0024722A" w:rsidRPr="008E576D">
        <w:rPr>
          <w:rFonts w:ascii="Arial" w:hAnsi="Arial" w:cs="Arial"/>
          <w:bCs/>
          <w:iCs/>
          <w:color w:val="000000"/>
        </w:rPr>
        <w:t xml:space="preserve">klo, barva </w:t>
      </w:r>
      <w:r w:rsidR="000B48CA" w:rsidRPr="008E576D">
        <w:rPr>
          <w:rFonts w:ascii="Arial" w:hAnsi="Arial" w:cs="Arial"/>
          <w:bCs/>
          <w:iCs/>
          <w:color w:val="000000"/>
        </w:rPr>
        <w:t>zelená</w:t>
      </w:r>
    </w:p>
    <w:p w14:paraId="48BD78C6" w14:textId="77777777" w:rsidR="008E576D" w:rsidRPr="00FA31E9" w:rsidRDefault="000332D7" w:rsidP="008E576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E576D">
        <w:rPr>
          <w:rFonts w:ascii="Arial" w:hAnsi="Arial" w:cs="Arial"/>
          <w:bCs/>
          <w:iCs/>
          <w:color w:val="000000"/>
        </w:rPr>
        <w:t>K</w:t>
      </w:r>
      <w:r w:rsidR="00745703" w:rsidRPr="008E576D">
        <w:rPr>
          <w:rFonts w:ascii="Arial" w:hAnsi="Arial" w:cs="Arial"/>
          <w:bCs/>
          <w:iCs/>
          <w:color w:val="000000"/>
        </w:rPr>
        <w:t xml:space="preserve">ovy, barva </w:t>
      </w:r>
      <w:r w:rsidR="000B48CA" w:rsidRPr="008E576D">
        <w:rPr>
          <w:rFonts w:ascii="Arial" w:hAnsi="Arial" w:cs="Arial"/>
          <w:bCs/>
          <w:iCs/>
          <w:color w:val="000000"/>
        </w:rPr>
        <w:t>šed</w:t>
      </w:r>
      <w:r w:rsidR="008E576D">
        <w:rPr>
          <w:rFonts w:ascii="Arial" w:hAnsi="Arial" w:cs="Arial"/>
          <w:bCs/>
          <w:iCs/>
          <w:color w:val="000000"/>
        </w:rPr>
        <w:t>á</w:t>
      </w:r>
    </w:p>
    <w:p w14:paraId="4B0BF00A" w14:textId="708FFED8" w:rsidR="00FA31E9" w:rsidRPr="008E576D" w:rsidRDefault="00FA31E9" w:rsidP="008E576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Textil</w:t>
      </w:r>
    </w:p>
    <w:p w14:paraId="27CF142E" w14:textId="77777777" w:rsidR="000B48CA" w:rsidRPr="008E576D" w:rsidRDefault="000B48CA" w:rsidP="00FA31E9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Cs/>
        </w:rPr>
      </w:pPr>
    </w:p>
    <w:p w14:paraId="4E45F0CB" w14:textId="0628E05B" w:rsidR="007E7F5B" w:rsidRDefault="00F77173" w:rsidP="009D06F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E7F5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E7F5B">
        <w:rPr>
          <w:rFonts w:ascii="Arial" w:hAnsi="Arial" w:cs="Arial"/>
          <w:sz w:val="22"/>
          <w:szCs w:val="22"/>
        </w:rPr>
        <w:t>é odpad</w:t>
      </w:r>
      <w:r w:rsidR="00452597" w:rsidRPr="007E7F5B">
        <w:rPr>
          <w:rFonts w:ascii="Arial" w:hAnsi="Arial" w:cs="Arial"/>
          <w:sz w:val="22"/>
          <w:szCs w:val="22"/>
        </w:rPr>
        <w:t>y</w:t>
      </w:r>
      <w:r w:rsidR="00FF60D6" w:rsidRPr="007E7F5B">
        <w:rPr>
          <w:rFonts w:ascii="Arial" w:hAnsi="Arial" w:cs="Arial"/>
          <w:sz w:val="22"/>
          <w:szCs w:val="22"/>
        </w:rPr>
        <w:t>,</w:t>
      </w:r>
      <w:r w:rsidR="00223F72" w:rsidRPr="007E7F5B">
        <w:rPr>
          <w:rFonts w:ascii="Arial" w:hAnsi="Arial" w:cs="Arial"/>
          <w:sz w:val="22"/>
          <w:szCs w:val="22"/>
        </w:rPr>
        <w:t xml:space="preserve"> </w:t>
      </w:r>
      <w:r w:rsidR="00A94551" w:rsidRPr="007E7F5B">
        <w:rPr>
          <w:rFonts w:ascii="Arial" w:hAnsi="Arial" w:cs="Arial"/>
          <w:sz w:val="22"/>
          <w:szCs w:val="22"/>
        </w:rPr>
        <w:t>než</w:t>
      </w:r>
      <w:r w:rsidRPr="007E7F5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E7F5B">
        <w:rPr>
          <w:rFonts w:ascii="Arial" w:hAnsi="Arial" w:cs="Arial"/>
          <w:sz w:val="22"/>
          <w:szCs w:val="22"/>
        </w:rPr>
        <w:t>.</w:t>
      </w:r>
    </w:p>
    <w:p w14:paraId="6C336B8B" w14:textId="77777777" w:rsidR="007E7F5B" w:rsidRDefault="007E7F5B" w:rsidP="007E7F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B76182" w14:textId="53F2A975" w:rsidR="00CD1C8D" w:rsidRDefault="007E7F5B" w:rsidP="007F3C4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D1C8D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B5F3316" w14:textId="77777777" w:rsidR="00FA31E9" w:rsidRDefault="00FA31E9" w:rsidP="00FA31E9">
      <w:pPr>
        <w:pStyle w:val="Odstavecseseznamem"/>
        <w:spacing w:after="0"/>
        <w:ind w:left="284"/>
        <w:rPr>
          <w:rFonts w:ascii="Arial" w:hAnsi="Arial" w:cs="Arial"/>
        </w:rPr>
      </w:pPr>
    </w:p>
    <w:p w14:paraId="228D44E0" w14:textId="1C943086" w:rsidR="00CD1C8D" w:rsidRDefault="00CD1C8D" w:rsidP="00CD1C8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</w:t>
      </w:r>
      <w:r w:rsidR="00C760DA">
        <w:rPr>
          <w:rFonts w:ascii="Arial" w:hAnsi="Arial" w:cs="Arial"/>
          <w:sz w:val="22"/>
          <w:szCs w:val="22"/>
        </w:rPr>
        <w:t xml:space="preserve"> se</w:t>
      </w:r>
      <w:r w:rsidR="00C760DA" w:rsidRPr="003C7DD5">
        <w:rPr>
          <w:rFonts w:ascii="Arial" w:hAnsi="Arial" w:cs="Arial"/>
          <w:sz w:val="22"/>
          <w:szCs w:val="22"/>
        </w:rPr>
        <w:t xml:space="preserve"> od</w:t>
      </w:r>
      <w:r w:rsidR="00C760DA">
        <w:rPr>
          <w:rFonts w:ascii="Arial" w:hAnsi="Arial" w:cs="Arial"/>
          <w:sz w:val="22"/>
          <w:szCs w:val="22"/>
        </w:rPr>
        <w:t>klád</w:t>
      </w:r>
      <w:r w:rsidR="00C760DA" w:rsidRPr="003C7DD5">
        <w:rPr>
          <w:rFonts w:ascii="Arial" w:hAnsi="Arial" w:cs="Arial"/>
          <w:sz w:val="22"/>
          <w:szCs w:val="22"/>
        </w:rPr>
        <w:t>a</w:t>
      </w:r>
      <w:r w:rsidR="00C760DA">
        <w:rPr>
          <w:rFonts w:ascii="Arial" w:hAnsi="Arial" w:cs="Arial"/>
          <w:sz w:val="22"/>
          <w:szCs w:val="22"/>
        </w:rPr>
        <w:t>jí</w:t>
      </w:r>
      <w:r w:rsidR="00C760DA" w:rsidRPr="003C7DD5">
        <w:rPr>
          <w:rFonts w:ascii="Arial" w:hAnsi="Arial" w:cs="Arial"/>
          <w:sz w:val="22"/>
          <w:szCs w:val="22"/>
        </w:rPr>
        <w:t xml:space="preserve"> </w:t>
      </w:r>
      <w:r w:rsidR="00C760DA">
        <w:rPr>
          <w:rFonts w:ascii="Arial" w:hAnsi="Arial" w:cs="Arial"/>
          <w:sz w:val="22"/>
          <w:szCs w:val="22"/>
        </w:rPr>
        <w:t>ve vhodných obalech u vchodu do bývalé restaurace Pod lipami</w:t>
      </w:r>
      <w:r w:rsidR="00B003BD">
        <w:rPr>
          <w:rFonts w:ascii="Arial" w:hAnsi="Arial" w:cs="Arial"/>
          <w:sz w:val="22"/>
          <w:szCs w:val="22"/>
        </w:rPr>
        <w:t>.</w:t>
      </w:r>
    </w:p>
    <w:p w14:paraId="64A21D4E" w14:textId="77777777" w:rsidR="00FA31E9" w:rsidRDefault="00FA31E9" w:rsidP="00C760DA">
      <w:pPr>
        <w:pStyle w:val="Odstavecseseznamem"/>
        <w:spacing w:after="0"/>
        <w:rPr>
          <w:rFonts w:ascii="Arial" w:hAnsi="Arial" w:cs="Arial"/>
        </w:rPr>
      </w:pPr>
    </w:p>
    <w:p w14:paraId="2C45E654" w14:textId="77777777" w:rsidR="00CD1C8D" w:rsidRDefault="00CD1C8D" w:rsidP="00CD1C8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Sběrový papír a kartony</w:t>
      </w:r>
      <w:r w:rsidRPr="003C7DD5">
        <w:rPr>
          <w:rFonts w:ascii="Arial" w:hAnsi="Arial" w:cs="Arial"/>
          <w:sz w:val="22"/>
          <w:szCs w:val="22"/>
        </w:rPr>
        <w:t xml:space="preserve"> lze také od</w:t>
      </w:r>
      <w:r>
        <w:rPr>
          <w:rFonts w:ascii="Arial" w:hAnsi="Arial" w:cs="Arial"/>
          <w:sz w:val="22"/>
          <w:szCs w:val="22"/>
        </w:rPr>
        <w:t>klád</w:t>
      </w:r>
      <w:r w:rsidRPr="003C7DD5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u vchodu do bývalé restaurace Pod lipami.</w:t>
      </w:r>
    </w:p>
    <w:p w14:paraId="4035ECB7" w14:textId="77777777" w:rsidR="003C7DD5" w:rsidRPr="003C7DD5" w:rsidRDefault="003C7DD5" w:rsidP="00A2343A">
      <w:pPr>
        <w:spacing w:after="240"/>
        <w:ind w:left="360"/>
        <w:jc w:val="both"/>
        <w:rPr>
          <w:rFonts w:ascii="Arial" w:hAnsi="Arial" w:cs="Arial"/>
          <w:sz w:val="22"/>
          <w:szCs w:val="22"/>
        </w:rPr>
      </w:pPr>
    </w:p>
    <w:p w14:paraId="6FC6F3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74CF3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7E7F5B" w:rsidRPr="007E7F5B">
        <w:rPr>
          <w:rFonts w:ascii="Arial" w:hAnsi="Arial" w:cs="Arial"/>
          <w:b/>
          <w:sz w:val="22"/>
          <w:szCs w:val="22"/>
          <w:u w:val="none"/>
        </w:rPr>
        <w:t>objemného a</w:t>
      </w:r>
      <w:r w:rsidR="007E7F5B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7E7F5B">
        <w:rPr>
          <w:rFonts w:ascii="Arial" w:hAnsi="Arial" w:cs="Arial"/>
          <w:b/>
          <w:bCs/>
          <w:sz w:val="22"/>
          <w:szCs w:val="22"/>
          <w:u w:val="none"/>
        </w:rPr>
        <w:t>ého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223D991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26DEB9" w14:textId="77777777" w:rsidR="0024722A" w:rsidRPr="002E6E3B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bookmarkStart w:id="2" w:name="_Hlk199924890"/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7E7F5B" w:rsidRPr="00641107">
        <w:rPr>
          <w:rFonts w:ascii="Arial" w:hAnsi="Arial" w:cs="Arial"/>
          <w:sz w:val="22"/>
          <w:szCs w:val="22"/>
        </w:rPr>
        <w:t xml:space="preserve">objemného odpadu </w:t>
      </w:r>
      <w:r w:rsidR="007E7F5B">
        <w:rPr>
          <w:rFonts w:ascii="Arial" w:hAnsi="Arial" w:cs="Arial"/>
          <w:sz w:val="22"/>
          <w:szCs w:val="22"/>
        </w:rPr>
        <w:t xml:space="preserve">a </w:t>
      </w:r>
      <w:r w:rsidR="00A94551">
        <w:rPr>
          <w:rFonts w:ascii="Arial" w:hAnsi="Arial" w:cs="Arial"/>
          <w:sz w:val="22"/>
          <w:szCs w:val="22"/>
        </w:rPr>
        <w:t>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 </w:t>
      </w:r>
      <w:bookmarkEnd w:id="2"/>
      <w:r w:rsidRPr="00FB6AE5">
        <w:rPr>
          <w:rFonts w:ascii="Arial" w:hAnsi="Arial" w:cs="Arial"/>
          <w:sz w:val="22"/>
          <w:szCs w:val="22"/>
        </w:rPr>
        <w:t>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0B48CA">
        <w:rPr>
          <w:rFonts w:ascii="Arial" w:hAnsi="Arial" w:cs="Arial"/>
          <w:sz w:val="22"/>
          <w:szCs w:val="22"/>
        </w:rPr>
        <w:t xml:space="preserve"> j</w:t>
      </w:r>
      <w:r w:rsidRPr="00FB6AE5">
        <w:rPr>
          <w:rFonts w:ascii="Arial" w:hAnsi="Arial" w:cs="Arial"/>
          <w:sz w:val="22"/>
          <w:szCs w:val="22"/>
        </w:rPr>
        <w:t>ejich odebíráním na předem vyhlášen</w:t>
      </w:r>
      <w:r w:rsidR="00F3769C">
        <w:rPr>
          <w:rFonts w:ascii="Arial" w:hAnsi="Arial" w:cs="Arial"/>
          <w:sz w:val="22"/>
          <w:szCs w:val="22"/>
        </w:rPr>
        <w:t>ém</w:t>
      </w:r>
      <w:r w:rsidRPr="00FB6AE5">
        <w:rPr>
          <w:rFonts w:ascii="Arial" w:hAnsi="Arial" w:cs="Arial"/>
          <w:sz w:val="22"/>
          <w:szCs w:val="22"/>
        </w:rPr>
        <w:t xml:space="preserve"> přechodn</w:t>
      </w:r>
      <w:r w:rsidR="007E7F5B">
        <w:rPr>
          <w:rFonts w:ascii="Arial" w:hAnsi="Arial" w:cs="Arial"/>
          <w:sz w:val="22"/>
          <w:szCs w:val="22"/>
        </w:rPr>
        <w:t>ém</w:t>
      </w:r>
      <w:r w:rsidRPr="00FB6AE5">
        <w:rPr>
          <w:rFonts w:ascii="Arial" w:hAnsi="Arial" w:cs="Arial"/>
          <w:sz w:val="22"/>
          <w:szCs w:val="22"/>
        </w:rPr>
        <w:t xml:space="preserve"> stanovišt</w:t>
      </w:r>
      <w:r w:rsidR="007E7F5B">
        <w:rPr>
          <w:rFonts w:ascii="Arial" w:hAnsi="Arial" w:cs="Arial"/>
          <w:sz w:val="22"/>
          <w:szCs w:val="22"/>
        </w:rPr>
        <w:t>i</w:t>
      </w:r>
      <w:r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sběru jsou zveřejňovány </w:t>
      </w:r>
      <w:r w:rsidR="00860E3E">
        <w:rPr>
          <w:rFonts w:ascii="Arial" w:hAnsi="Arial" w:cs="Arial"/>
          <w:sz w:val="22"/>
          <w:szCs w:val="22"/>
        </w:rPr>
        <w:t xml:space="preserve">v aplikaci </w:t>
      </w:r>
      <w:proofErr w:type="spellStart"/>
      <w:r w:rsidR="00860E3E">
        <w:rPr>
          <w:rFonts w:ascii="Arial" w:hAnsi="Arial" w:cs="Arial"/>
          <w:sz w:val="22"/>
          <w:szCs w:val="22"/>
        </w:rPr>
        <w:t>Munipolis</w:t>
      </w:r>
      <w:proofErr w:type="spellEnd"/>
      <w:r w:rsidR="00860E3E">
        <w:rPr>
          <w:rFonts w:ascii="Arial" w:hAnsi="Arial" w:cs="Arial"/>
          <w:sz w:val="22"/>
          <w:szCs w:val="22"/>
        </w:rPr>
        <w:t>, na</w:t>
      </w:r>
      <w:r w:rsidRPr="000B48CA">
        <w:rPr>
          <w:rFonts w:ascii="Arial" w:hAnsi="Arial" w:cs="Arial"/>
          <w:sz w:val="22"/>
          <w:szCs w:val="22"/>
        </w:rPr>
        <w:t xml:space="preserve"> výlepových plochách, </w:t>
      </w:r>
      <w:r w:rsidR="00860E3E">
        <w:rPr>
          <w:rFonts w:ascii="Arial" w:hAnsi="Arial" w:cs="Arial"/>
          <w:sz w:val="22"/>
          <w:szCs w:val="22"/>
        </w:rPr>
        <w:t xml:space="preserve">ve </w:t>
      </w:r>
      <w:r w:rsidR="007E7F5B">
        <w:rPr>
          <w:rFonts w:ascii="Arial" w:hAnsi="Arial" w:cs="Arial"/>
          <w:sz w:val="22"/>
          <w:szCs w:val="22"/>
        </w:rPr>
        <w:t>L</w:t>
      </w:r>
      <w:r w:rsidR="00860E3E">
        <w:rPr>
          <w:rFonts w:ascii="Arial" w:hAnsi="Arial" w:cs="Arial"/>
          <w:sz w:val="22"/>
          <w:szCs w:val="22"/>
        </w:rPr>
        <w:t>hoteckém zpravodaji</w:t>
      </w:r>
      <w:r w:rsidRPr="000B48CA">
        <w:rPr>
          <w:rFonts w:ascii="Arial" w:hAnsi="Arial" w:cs="Arial"/>
          <w:sz w:val="22"/>
          <w:szCs w:val="22"/>
        </w:rPr>
        <w:t>, v místním rozhlase</w:t>
      </w:r>
      <w:r w:rsidR="00C5372A">
        <w:rPr>
          <w:rFonts w:ascii="Arial" w:hAnsi="Arial" w:cs="Arial"/>
          <w:sz w:val="22"/>
          <w:szCs w:val="22"/>
        </w:rPr>
        <w:t xml:space="preserve"> a</w:t>
      </w:r>
      <w:r w:rsidR="00A94551" w:rsidRPr="000B48CA">
        <w:rPr>
          <w:rFonts w:ascii="Arial" w:hAnsi="Arial" w:cs="Arial"/>
          <w:sz w:val="22"/>
          <w:szCs w:val="22"/>
        </w:rPr>
        <w:t xml:space="preserve"> na internetu</w:t>
      </w:r>
      <w:r w:rsidR="000B48CA" w:rsidRPr="000B48CA">
        <w:rPr>
          <w:rFonts w:ascii="Arial" w:hAnsi="Arial" w:cs="Arial"/>
          <w:sz w:val="22"/>
          <w:szCs w:val="22"/>
        </w:rPr>
        <w:t>.</w:t>
      </w:r>
    </w:p>
    <w:p w14:paraId="594D4C8C" w14:textId="77777777" w:rsidR="0062284A" w:rsidRDefault="0062284A" w:rsidP="00765052">
      <w:pPr>
        <w:rPr>
          <w:rFonts w:ascii="Arial" w:hAnsi="Arial" w:cs="Arial"/>
          <w:b/>
          <w:sz w:val="22"/>
          <w:szCs w:val="22"/>
        </w:rPr>
      </w:pPr>
    </w:p>
    <w:p w14:paraId="6B8888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4FDF">
        <w:rPr>
          <w:rFonts w:ascii="Arial" w:hAnsi="Arial" w:cs="Arial"/>
          <w:b/>
          <w:sz w:val="22"/>
          <w:szCs w:val="22"/>
        </w:rPr>
        <w:t>5</w:t>
      </w:r>
    </w:p>
    <w:p w14:paraId="6FE4E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A99CA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E8F59E" w14:textId="77777777" w:rsidR="00050F69" w:rsidRPr="00050F69" w:rsidRDefault="0025354B" w:rsidP="00050F69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0F69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  <w:r w:rsidR="00D736CB" w:rsidRPr="00050F69">
        <w:rPr>
          <w:rFonts w:ascii="Arial" w:hAnsi="Arial" w:cs="Arial"/>
          <w:sz w:val="22"/>
          <w:szCs w:val="22"/>
        </w:rPr>
        <w:t xml:space="preserve"> </w:t>
      </w:r>
    </w:p>
    <w:p w14:paraId="5C237E45" w14:textId="77777777" w:rsidR="0025354B" w:rsidRPr="00050F69" w:rsidRDefault="002E6E3B" w:rsidP="00050F69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050F69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vybavené čipem</w:t>
      </w:r>
    </w:p>
    <w:p w14:paraId="58B00F08" w14:textId="77777777" w:rsidR="00503F10" w:rsidRDefault="005F0210" w:rsidP="00503F1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B599C">
        <w:rPr>
          <w:rFonts w:ascii="Arial" w:hAnsi="Arial" w:cs="Arial"/>
          <w:sz w:val="22"/>
          <w:szCs w:val="22"/>
        </w:rPr>
        <w:lastRenderedPageBreak/>
        <w:t>odpadkové koše</w:t>
      </w:r>
      <w:r w:rsidR="0025354B" w:rsidRPr="007B599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53D8A4F" w14:textId="77777777" w:rsidR="00AB68EC" w:rsidRPr="007B599C" w:rsidRDefault="00AB68EC" w:rsidP="00AB68E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EFE1D3" w14:textId="77777777" w:rsidR="0024722A" w:rsidRPr="00553B78" w:rsidRDefault="0024722A" w:rsidP="007B599C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11B72F80" w14:textId="77777777" w:rsidR="001078B1" w:rsidRDefault="001078B1" w:rsidP="00FB526C">
      <w:pPr>
        <w:rPr>
          <w:rFonts w:ascii="Arial" w:hAnsi="Arial" w:cs="Arial"/>
          <w:b/>
          <w:sz w:val="22"/>
          <w:szCs w:val="22"/>
        </w:rPr>
      </w:pPr>
    </w:p>
    <w:p w14:paraId="3BA5FECB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B485D">
        <w:rPr>
          <w:rFonts w:ascii="Arial" w:hAnsi="Arial" w:cs="Arial"/>
          <w:b/>
          <w:sz w:val="22"/>
          <w:szCs w:val="22"/>
        </w:rPr>
        <w:t>6</w:t>
      </w:r>
    </w:p>
    <w:p w14:paraId="6A2C7B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2D5BB3">
        <w:rPr>
          <w:rFonts w:ascii="Arial" w:hAnsi="Arial" w:cs="Arial"/>
          <w:b/>
          <w:sz w:val="22"/>
          <w:szCs w:val="22"/>
        </w:rPr>
        <w:t xml:space="preserve">a demoličním </w:t>
      </w:r>
      <w:r w:rsidRPr="00FB6AE5">
        <w:rPr>
          <w:rFonts w:ascii="Arial" w:hAnsi="Arial" w:cs="Arial"/>
          <w:b/>
          <w:sz w:val="22"/>
          <w:szCs w:val="22"/>
        </w:rPr>
        <w:t>odpadem</w:t>
      </w:r>
    </w:p>
    <w:p w14:paraId="478CA6D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E95F0B" w14:textId="77777777" w:rsidR="0024722A" w:rsidRPr="000264E4" w:rsidRDefault="000264E4" w:rsidP="001E51CD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64E4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</w:t>
      </w:r>
      <w:r>
        <w:rPr>
          <w:rFonts w:ascii="Arial" w:hAnsi="Arial" w:cs="Arial"/>
          <w:sz w:val="22"/>
          <w:szCs w:val="22"/>
        </w:rPr>
        <w:t>.</w:t>
      </w:r>
    </w:p>
    <w:p w14:paraId="08F01A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279557" w14:textId="77777777" w:rsidR="0024722A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4F9928A2" w14:textId="77777777" w:rsidR="00AB485D" w:rsidRPr="00FB6AE5" w:rsidRDefault="00AB485D" w:rsidP="00AB48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B8BCC6" w14:textId="77777777" w:rsidR="00050F69" w:rsidRDefault="00050F69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odpad je možné odkládat pouze </w:t>
      </w:r>
      <w:r w:rsidR="000264E4">
        <w:rPr>
          <w:rFonts w:ascii="Arial" w:hAnsi="Arial" w:cs="Arial"/>
          <w:sz w:val="22"/>
          <w:szCs w:val="22"/>
        </w:rPr>
        <w:t>oprávněným firmám</w:t>
      </w:r>
      <w:r>
        <w:rPr>
          <w:rFonts w:ascii="Arial" w:hAnsi="Arial" w:cs="Arial"/>
          <w:sz w:val="22"/>
          <w:szCs w:val="22"/>
        </w:rPr>
        <w:t>. Odvoz a uložení si zajišťuje každý původce tohoto odpadu na své náklady.</w:t>
      </w:r>
      <w:r w:rsidR="000264E4">
        <w:rPr>
          <w:rFonts w:ascii="Arial" w:hAnsi="Arial" w:cs="Arial"/>
          <w:sz w:val="22"/>
          <w:szCs w:val="22"/>
        </w:rPr>
        <w:t xml:space="preserve"> (</w:t>
      </w:r>
      <w:r w:rsidR="000264E4" w:rsidRPr="000264E4">
        <w:rPr>
          <w:rFonts w:ascii="Arial" w:hAnsi="Arial" w:cs="Arial"/>
          <w:sz w:val="22"/>
          <w:szCs w:val="22"/>
        </w:rPr>
        <w:t>Stavební odpad je možno předat za úplatu např. na recyklační linku Cihelny Bratronice.</w:t>
      </w:r>
      <w:r w:rsidR="000264E4">
        <w:rPr>
          <w:rFonts w:ascii="Arial" w:hAnsi="Arial" w:cs="Arial"/>
          <w:sz w:val="22"/>
          <w:szCs w:val="22"/>
        </w:rPr>
        <w:t>)</w:t>
      </w:r>
    </w:p>
    <w:p w14:paraId="672EBD50" w14:textId="77777777" w:rsidR="002E6E3B" w:rsidRDefault="002E6E3B" w:rsidP="002E6E3B">
      <w:pPr>
        <w:pStyle w:val="Odstavecseseznamem"/>
        <w:rPr>
          <w:rFonts w:ascii="Arial" w:hAnsi="Arial" w:cs="Arial"/>
        </w:rPr>
      </w:pPr>
    </w:p>
    <w:p w14:paraId="0721878C" w14:textId="77777777" w:rsidR="002E6E3B" w:rsidRPr="00FB6AE5" w:rsidRDefault="002E6E3B" w:rsidP="002E6E3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C59C566" w14:textId="77777777" w:rsidR="002E6E3B" w:rsidRDefault="002E6E3B" w:rsidP="002E6E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biologicky </w:t>
      </w:r>
      <w:r w:rsidR="005864FE">
        <w:rPr>
          <w:rFonts w:ascii="Arial" w:hAnsi="Arial" w:cs="Arial"/>
          <w:b/>
          <w:bCs/>
          <w:sz w:val="22"/>
          <w:szCs w:val="22"/>
          <w:u w:val="none"/>
        </w:rPr>
        <w:t>rozložitelným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odpadem</w:t>
      </w:r>
    </w:p>
    <w:p w14:paraId="0AF6B519" w14:textId="77777777" w:rsidR="005864FE" w:rsidRPr="005864FE" w:rsidRDefault="005864FE" w:rsidP="005864FE"/>
    <w:p w14:paraId="358E27CC" w14:textId="77777777" w:rsidR="005864FE" w:rsidRPr="00FB6AE5" w:rsidRDefault="005864FE" w:rsidP="002E6E3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864FE">
        <w:rPr>
          <w:rFonts w:ascii="Arial" w:hAnsi="Arial" w:cs="Arial"/>
          <w:sz w:val="22"/>
          <w:szCs w:val="22"/>
        </w:rPr>
        <w:t>Biologicky rozložitelný odpad, který vzniká občanům při údržbě zahrad a dalších ploch, občané</w:t>
      </w:r>
      <w:r>
        <w:rPr>
          <w:rFonts w:ascii="Arial" w:hAnsi="Arial" w:cs="Arial"/>
          <w:sz w:val="22"/>
          <w:szCs w:val="22"/>
        </w:rPr>
        <w:t xml:space="preserve"> zejména </w:t>
      </w:r>
      <w:r w:rsidRPr="005864FE">
        <w:rPr>
          <w:rFonts w:ascii="Arial" w:hAnsi="Arial" w:cs="Arial"/>
          <w:sz w:val="22"/>
          <w:szCs w:val="22"/>
        </w:rPr>
        <w:t xml:space="preserve">kompostují na vlastních pozemcích. Další biologicky rozložitelný odpad </w:t>
      </w:r>
      <w:r>
        <w:rPr>
          <w:rFonts w:ascii="Arial" w:hAnsi="Arial" w:cs="Arial"/>
          <w:sz w:val="22"/>
          <w:szCs w:val="22"/>
        </w:rPr>
        <w:t xml:space="preserve">(zeleň) </w:t>
      </w:r>
      <w:r w:rsidRPr="005864FE">
        <w:rPr>
          <w:rFonts w:ascii="Arial" w:hAnsi="Arial" w:cs="Arial"/>
          <w:sz w:val="22"/>
          <w:szCs w:val="22"/>
        </w:rPr>
        <w:t>mají občané možnost odkládat do velkoobjemových kontejnerů (</w:t>
      </w:r>
      <w:proofErr w:type="spellStart"/>
      <w:r w:rsidRPr="005864FE">
        <w:rPr>
          <w:rFonts w:ascii="Arial" w:hAnsi="Arial" w:cs="Arial"/>
          <w:sz w:val="22"/>
          <w:szCs w:val="22"/>
        </w:rPr>
        <w:t>bigramky</w:t>
      </w:r>
      <w:proofErr w:type="spellEnd"/>
      <w:r w:rsidRPr="005864FE">
        <w:rPr>
          <w:rFonts w:ascii="Arial" w:hAnsi="Arial" w:cs="Arial"/>
          <w:sz w:val="22"/>
          <w:szCs w:val="22"/>
        </w:rPr>
        <w:t>), které jsou umístěny u hřiště a na návsi. Větve mohou občané odkládat na vyhrazené místo u čističky odpadních vod.</w:t>
      </w:r>
    </w:p>
    <w:p w14:paraId="29997AED" w14:textId="77777777" w:rsidR="0024722A" w:rsidRPr="00FB6AE5" w:rsidRDefault="0024722A" w:rsidP="00FB526C">
      <w:pPr>
        <w:jc w:val="both"/>
        <w:rPr>
          <w:rFonts w:ascii="Arial" w:hAnsi="Arial" w:cs="Arial"/>
          <w:sz w:val="22"/>
          <w:szCs w:val="22"/>
        </w:rPr>
      </w:pPr>
    </w:p>
    <w:p w14:paraId="000DAA52" w14:textId="77777777" w:rsidR="00F10A3C" w:rsidRPr="00FB6AE5" w:rsidRDefault="00F10A3C" w:rsidP="00F10A3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864FE">
        <w:rPr>
          <w:rFonts w:ascii="Arial" w:hAnsi="Arial" w:cs="Arial"/>
          <w:b/>
          <w:sz w:val="22"/>
          <w:szCs w:val="22"/>
        </w:rPr>
        <w:t>8</w:t>
      </w:r>
    </w:p>
    <w:p w14:paraId="274BC590" w14:textId="77777777" w:rsidR="00F10A3C" w:rsidRDefault="00F10A3C" w:rsidP="00F10A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0E6DA84" w14:textId="77777777" w:rsidR="00F10A3C" w:rsidRDefault="00F10A3C" w:rsidP="00F10A3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59B9B7" w14:textId="77777777" w:rsidR="00F10A3C" w:rsidRDefault="00F10A3C" w:rsidP="00F10A3C">
      <w:pPr>
        <w:numPr>
          <w:ilvl w:val="0"/>
          <w:numId w:val="2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="00281957">
        <w:rPr>
          <w:rFonts w:ascii="Arial" w:hAnsi="Arial" w:cs="Arial"/>
          <w:sz w:val="22"/>
          <w:szCs w:val="22"/>
        </w:rPr>
        <w:t>(</w:t>
      </w:r>
      <w:r w:rsidR="00281957" w:rsidRPr="009743BA">
        <w:rPr>
          <w:rFonts w:ascii="Arial" w:hAnsi="Arial" w:cs="Arial"/>
          <w:sz w:val="22"/>
          <w:szCs w:val="22"/>
        </w:rPr>
        <w:t xml:space="preserve">musí být </w:t>
      </w:r>
      <w:r w:rsidR="00281957">
        <w:rPr>
          <w:rFonts w:ascii="Arial" w:hAnsi="Arial" w:cs="Arial"/>
          <w:sz w:val="22"/>
          <w:szCs w:val="22"/>
        </w:rPr>
        <w:t xml:space="preserve">předána </w:t>
      </w:r>
      <w:r w:rsidR="00281957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281957">
        <w:rPr>
          <w:rFonts w:ascii="Arial" w:hAnsi="Arial" w:cs="Arial"/>
          <w:sz w:val="22"/>
          <w:szCs w:val="22"/>
        </w:rPr>
        <w:t>)</w:t>
      </w:r>
      <w:r w:rsidR="00281957" w:rsidRPr="0031415A">
        <w:rPr>
          <w:rFonts w:ascii="Arial" w:hAnsi="Arial" w:cs="Arial"/>
          <w:sz w:val="22"/>
          <w:szCs w:val="22"/>
        </w:rPr>
        <w:t xml:space="preserve">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  <w:r w:rsidR="001F3D77">
        <w:rPr>
          <w:rFonts w:ascii="Arial" w:hAnsi="Arial" w:cs="Arial"/>
          <w:sz w:val="22"/>
          <w:szCs w:val="22"/>
        </w:rPr>
        <w:t xml:space="preserve"> </w:t>
      </w:r>
    </w:p>
    <w:p w14:paraId="3436916D" w14:textId="77777777" w:rsidR="00F10A3C" w:rsidRPr="0031415A" w:rsidRDefault="00F10A3C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nábytek</w:t>
      </w:r>
    </w:p>
    <w:p w14:paraId="2C75C450" w14:textId="77777777" w:rsidR="001F3D77" w:rsidRDefault="00F10A3C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>oděvy a textil</w:t>
      </w:r>
    </w:p>
    <w:p w14:paraId="3CF8F001" w14:textId="77777777" w:rsidR="001F3D77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>kuchyňské vybavení</w:t>
      </w:r>
    </w:p>
    <w:p w14:paraId="351C2005" w14:textId="77777777" w:rsidR="001F3D77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 xml:space="preserve"> knihy</w:t>
      </w:r>
    </w:p>
    <w:p w14:paraId="13052880" w14:textId="77777777" w:rsidR="001F3D77" w:rsidRPr="00CA55C0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1F3D77">
        <w:rPr>
          <w:rFonts w:ascii="Arial" w:hAnsi="Arial" w:cs="Arial"/>
          <w:sz w:val="22"/>
          <w:szCs w:val="22"/>
        </w:rPr>
        <w:t xml:space="preserve"> </w:t>
      </w:r>
      <w:r w:rsidRPr="00CA55C0">
        <w:rPr>
          <w:rFonts w:ascii="Arial" w:hAnsi="Arial" w:cs="Arial"/>
          <w:sz w:val="22"/>
          <w:szCs w:val="22"/>
        </w:rPr>
        <w:t>hračky</w:t>
      </w:r>
    </w:p>
    <w:p w14:paraId="47EF7152" w14:textId="77777777" w:rsidR="00F10A3C" w:rsidRPr="00CA55C0" w:rsidRDefault="001F3D77" w:rsidP="001F3D77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CA55C0">
        <w:rPr>
          <w:rFonts w:ascii="Arial" w:hAnsi="Arial" w:cs="Arial"/>
          <w:sz w:val="22"/>
          <w:szCs w:val="22"/>
        </w:rPr>
        <w:t xml:space="preserve">sportovní vybavení </w:t>
      </w:r>
    </w:p>
    <w:p w14:paraId="47DB20D1" w14:textId="77777777" w:rsidR="00281957" w:rsidRPr="00CA55C0" w:rsidRDefault="00281957" w:rsidP="0028195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86DD73" w14:textId="77777777" w:rsidR="007644D5" w:rsidRDefault="00F10A3C" w:rsidP="00F10A3C">
      <w:pPr>
        <w:numPr>
          <w:ilvl w:val="0"/>
          <w:numId w:val="2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1F3D77">
        <w:rPr>
          <w:rFonts w:ascii="Arial" w:hAnsi="Arial" w:cs="Arial"/>
          <w:sz w:val="22"/>
          <w:szCs w:val="22"/>
        </w:rPr>
        <w:t xml:space="preserve"> po dohodě s pracovníkem obce do bývalé restaurace Pod lipami</w:t>
      </w:r>
      <w:r w:rsidR="001F3D77" w:rsidRPr="0031415A">
        <w:rPr>
          <w:rFonts w:ascii="Arial" w:hAnsi="Arial" w:cs="Arial"/>
          <w:sz w:val="22"/>
          <w:szCs w:val="22"/>
        </w:rPr>
        <w:t xml:space="preserve"> </w:t>
      </w:r>
    </w:p>
    <w:p w14:paraId="1CEA515B" w14:textId="77777777" w:rsidR="007644D5" w:rsidRDefault="007644D5" w:rsidP="007644D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43FDBF6" w14:textId="252BD96E" w:rsidR="007644D5" w:rsidRDefault="00281957" w:rsidP="00CA55C0">
      <w:pPr>
        <w:numPr>
          <w:ilvl w:val="0"/>
          <w:numId w:val="2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A55C0">
        <w:rPr>
          <w:rFonts w:ascii="Arial" w:hAnsi="Arial" w:cs="Arial"/>
          <w:sz w:val="22"/>
          <w:szCs w:val="22"/>
        </w:rPr>
        <w:t xml:space="preserve">Použité oděvy a textilní materiály mohou občané odkládat do sběrné nádoby na textil Diakonie Broumov na návsi. </w:t>
      </w:r>
    </w:p>
    <w:p w14:paraId="3308449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D90210" w14:textId="77777777" w:rsidR="00191CB6" w:rsidRPr="00191CB6" w:rsidRDefault="00191CB6" w:rsidP="00191CB6">
      <w:pPr>
        <w:jc w:val="center"/>
        <w:rPr>
          <w:rFonts w:ascii="Arial" w:hAnsi="Arial" w:cs="Arial"/>
          <w:b/>
          <w:sz w:val="22"/>
          <w:szCs w:val="22"/>
        </w:rPr>
      </w:pPr>
      <w:r w:rsidRPr="00191CB6">
        <w:rPr>
          <w:rFonts w:ascii="Arial" w:hAnsi="Arial" w:cs="Arial"/>
          <w:b/>
          <w:sz w:val="22"/>
          <w:szCs w:val="22"/>
        </w:rPr>
        <w:t>Čl. 9</w:t>
      </w:r>
    </w:p>
    <w:p w14:paraId="6130EA4A" w14:textId="77777777" w:rsidR="00191CB6" w:rsidRPr="00191CB6" w:rsidRDefault="00191CB6" w:rsidP="00191CB6">
      <w:pPr>
        <w:jc w:val="center"/>
        <w:rPr>
          <w:rFonts w:ascii="Arial" w:hAnsi="Arial" w:cs="Arial"/>
          <w:b/>
          <w:sz w:val="22"/>
          <w:szCs w:val="22"/>
        </w:rPr>
      </w:pPr>
      <w:r w:rsidRPr="00191CB6">
        <w:rPr>
          <w:rFonts w:ascii="Arial" w:hAnsi="Arial" w:cs="Arial"/>
          <w:b/>
          <w:sz w:val="22"/>
          <w:szCs w:val="22"/>
        </w:rPr>
        <w:t xml:space="preserve">Nakládání s výrobky s ukončenou životností v rámci služby pro výrobce </w:t>
      </w:r>
    </w:p>
    <w:p w14:paraId="2C9907DA" w14:textId="77777777" w:rsidR="00191CB6" w:rsidRPr="00191CB6" w:rsidRDefault="00191CB6" w:rsidP="00191CB6">
      <w:pPr>
        <w:jc w:val="center"/>
        <w:rPr>
          <w:rFonts w:ascii="Arial" w:hAnsi="Arial" w:cs="Arial"/>
          <w:b/>
          <w:sz w:val="22"/>
          <w:szCs w:val="22"/>
        </w:rPr>
      </w:pPr>
      <w:r w:rsidRPr="00191CB6">
        <w:rPr>
          <w:rFonts w:ascii="Arial" w:hAnsi="Arial" w:cs="Arial"/>
          <w:b/>
          <w:sz w:val="22"/>
          <w:szCs w:val="22"/>
        </w:rPr>
        <w:t>(zpětný odběr)</w:t>
      </w:r>
    </w:p>
    <w:p w14:paraId="11CCB8A8" w14:textId="77777777" w:rsidR="008B45CB" w:rsidRDefault="008B45CB" w:rsidP="00413249">
      <w:pPr>
        <w:rPr>
          <w:rFonts w:ascii="Arial" w:hAnsi="Arial" w:cs="Arial"/>
          <w:sz w:val="22"/>
          <w:szCs w:val="22"/>
        </w:rPr>
      </w:pPr>
    </w:p>
    <w:p w14:paraId="73B55A4B" w14:textId="5F3BBCF4" w:rsidR="00191CB6" w:rsidRDefault="00191CB6" w:rsidP="00413249">
      <w:pPr>
        <w:rPr>
          <w:rFonts w:ascii="Arial" w:hAnsi="Arial" w:cs="Arial"/>
          <w:sz w:val="22"/>
          <w:szCs w:val="22"/>
        </w:rPr>
      </w:pPr>
      <w:r w:rsidRPr="00191CB6">
        <w:rPr>
          <w:rFonts w:ascii="Arial" w:hAnsi="Arial" w:cs="Arial"/>
          <w:sz w:val="22"/>
          <w:szCs w:val="22"/>
        </w:rPr>
        <w:t xml:space="preserve">Obec v rámci služby pro výrobce nakládá s těmito výrobky s ukončenou životností: </w:t>
      </w:r>
    </w:p>
    <w:p w14:paraId="4A5A5CFB" w14:textId="77777777" w:rsidR="008B45CB" w:rsidRPr="00191CB6" w:rsidRDefault="008B45CB" w:rsidP="00413249">
      <w:pPr>
        <w:rPr>
          <w:rFonts w:ascii="Arial" w:hAnsi="Arial" w:cs="Arial"/>
          <w:sz w:val="22"/>
          <w:szCs w:val="22"/>
        </w:rPr>
      </w:pPr>
    </w:p>
    <w:p w14:paraId="30346C7C" w14:textId="77777777" w:rsidR="003B2478" w:rsidRDefault="00413249" w:rsidP="00FB526C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3846A5">
        <w:rPr>
          <w:rFonts w:ascii="Arial" w:hAnsi="Arial" w:cs="Arial"/>
          <w:sz w:val="22"/>
          <w:szCs w:val="22"/>
        </w:rPr>
        <w:t xml:space="preserve">Elektroodpad: </w:t>
      </w:r>
    </w:p>
    <w:p w14:paraId="2EF49C7B" w14:textId="59637ACE" w:rsidR="00413249" w:rsidRDefault="00413249" w:rsidP="003B2478">
      <w:pPr>
        <w:numPr>
          <w:ilvl w:val="1"/>
          <w:numId w:val="29"/>
        </w:numPr>
        <w:spacing w:after="240"/>
        <w:ind w:left="709"/>
        <w:rPr>
          <w:rFonts w:ascii="Arial" w:hAnsi="Arial" w:cs="Arial"/>
          <w:sz w:val="22"/>
          <w:szCs w:val="22"/>
        </w:rPr>
      </w:pPr>
      <w:r w:rsidRPr="003846A5">
        <w:rPr>
          <w:rFonts w:ascii="Arial" w:hAnsi="Arial" w:cs="Arial"/>
          <w:sz w:val="22"/>
          <w:szCs w:val="22"/>
        </w:rPr>
        <w:t xml:space="preserve">Vysloužilé </w:t>
      </w:r>
      <w:r w:rsidR="003B2478">
        <w:rPr>
          <w:rFonts w:ascii="Arial" w:hAnsi="Arial" w:cs="Arial"/>
          <w:sz w:val="22"/>
          <w:szCs w:val="22"/>
        </w:rPr>
        <w:t xml:space="preserve">malé </w:t>
      </w:r>
      <w:r w:rsidRPr="003846A5">
        <w:rPr>
          <w:rFonts w:ascii="Arial" w:hAnsi="Arial" w:cs="Arial"/>
          <w:sz w:val="22"/>
          <w:szCs w:val="22"/>
        </w:rPr>
        <w:t xml:space="preserve">elektrospotřebiče z domácností a přenosné baterie určené k recyklaci (mobilní telefony, vysílačky, navigace, přehrávače mp3, </w:t>
      </w:r>
      <w:proofErr w:type="spellStart"/>
      <w:r w:rsidRPr="003846A5">
        <w:rPr>
          <w:rFonts w:ascii="Arial" w:hAnsi="Arial" w:cs="Arial"/>
          <w:sz w:val="22"/>
          <w:szCs w:val="22"/>
        </w:rPr>
        <w:t>diskmany</w:t>
      </w:r>
      <w:proofErr w:type="spellEnd"/>
      <w:r w:rsidRPr="003846A5">
        <w:rPr>
          <w:rFonts w:ascii="Arial" w:hAnsi="Arial" w:cs="Arial"/>
          <w:sz w:val="22"/>
          <w:szCs w:val="22"/>
        </w:rPr>
        <w:t xml:space="preserve">, rádia, </w:t>
      </w:r>
      <w:r>
        <w:rPr>
          <w:rFonts w:ascii="Arial" w:hAnsi="Arial" w:cs="Arial"/>
          <w:sz w:val="22"/>
          <w:szCs w:val="22"/>
        </w:rPr>
        <w:t xml:space="preserve">výbojky, kabely, </w:t>
      </w:r>
      <w:r w:rsidRPr="003846A5">
        <w:rPr>
          <w:rFonts w:ascii="Arial" w:hAnsi="Arial" w:cs="Arial"/>
          <w:sz w:val="22"/>
          <w:szCs w:val="22"/>
        </w:rPr>
        <w:t xml:space="preserve">notebooky, klávesnice, myši, baterie a nabíječky, kalkulačky, budíky, </w:t>
      </w:r>
      <w:r>
        <w:rPr>
          <w:rFonts w:ascii="Arial" w:hAnsi="Arial" w:cs="Arial"/>
          <w:sz w:val="22"/>
          <w:szCs w:val="22"/>
        </w:rPr>
        <w:t xml:space="preserve">digitální </w:t>
      </w:r>
      <w:r>
        <w:rPr>
          <w:rFonts w:ascii="Arial" w:hAnsi="Arial" w:cs="Arial"/>
          <w:sz w:val="22"/>
          <w:szCs w:val="22"/>
        </w:rPr>
        <w:lastRenderedPageBreak/>
        <w:t xml:space="preserve">kamery, </w:t>
      </w:r>
      <w:r w:rsidRPr="003846A5">
        <w:rPr>
          <w:rFonts w:ascii="Arial" w:hAnsi="Arial" w:cs="Arial"/>
          <w:sz w:val="22"/>
          <w:szCs w:val="22"/>
        </w:rPr>
        <w:t>elektronické hračky, auta na vysílačku, robot</w:t>
      </w:r>
      <w:r>
        <w:rPr>
          <w:rFonts w:ascii="Arial" w:hAnsi="Arial" w:cs="Arial"/>
          <w:sz w:val="22"/>
          <w:szCs w:val="22"/>
        </w:rPr>
        <w:t>y</w:t>
      </w:r>
      <w:r w:rsidRPr="003846A5">
        <w:rPr>
          <w:rFonts w:ascii="Arial" w:hAnsi="Arial" w:cs="Arial"/>
          <w:sz w:val="22"/>
          <w:szCs w:val="22"/>
        </w:rPr>
        <w:t>, šlehače, toustovače, mixéry, drtiče ledu, rychlovarné konvice, fény a kulmy, elektrické kartáčky, holicí strojky, žehličky, ruční vysavače apod.)</w:t>
      </w:r>
      <w:r w:rsidR="003B2478">
        <w:rPr>
          <w:rFonts w:ascii="Arial" w:hAnsi="Arial" w:cs="Arial"/>
          <w:sz w:val="22"/>
          <w:szCs w:val="22"/>
        </w:rPr>
        <w:t xml:space="preserve"> se odkládají do nádoby</w:t>
      </w:r>
      <w:r w:rsidR="008B45CB">
        <w:rPr>
          <w:rFonts w:ascii="Arial" w:hAnsi="Arial" w:cs="Arial"/>
          <w:sz w:val="22"/>
          <w:szCs w:val="22"/>
        </w:rPr>
        <w:t xml:space="preserve"> Rema sytém „Zelená obec“ u vchodu do bývalé restaurace Pod lipami.</w:t>
      </w:r>
    </w:p>
    <w:p w14:paraId="1EE6F09D" w14:textId="5E5A7B18" w:rsidR="008B45CB" w:rsidRDefault="008B45CB" w:rsidP="003B2478">
      <w:pPr>
        <w:numPr>
          <w:ilvl w:val="1"/>
          <w:numId w:val="29"/>
        </w:numPr>
        <w:spacing w:after="24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Velké elektrospotřebiče (ledničky, mrazáky, pračky, myčky, sušičky, vysavače, televize, počítače apod)</w:t>
      </w:r>
      <w:r w:rsidR="00FB526C">
        <w:rPr>
          <w:rFonts w:ascii="Arial" w:hAnsi="Arial" w:cs="Arial"/>
          <w:sz w:val="22"/>
          <w:szCs w:val="22"/>
        </w:rPr>
        <w:t xml:space="preserve"> lze odkládat při</w:t>
      </w:r>
      <w:r w:rsidR="00FB526C" w:rsidRPr="00FB526C">
        <w:rPr>
          <w:rFonts w:ascii="Arial" w:hAnsi="Arial" w:cs="Arial"/>
          <w:sz w:val="22"/>
          <w:szCs w:val="22"/>
        </w:rPr>
        <w:t xml:space="preserve"> svoz</w:t>
      </w:r>
      <w:r w:rsidR="00FE025E">
        <w:rPr>
          <w:rFonts w:ascii="Arial" w:hAnsi="Arial" w:cs="Arial"/>
          <w:sz w:val="22"/>
          <w:szCs w:val="22"/>
        </w:rPr>
        <w:t>u</w:t>
      </w:r>
      <w:r w:rsidR="00FB526C" w:rsidRPr="00FB526C">
        <w:rPr>
          <w:rFonts w:ascii="Arial" w:hAnsi="Arial" w:cs="Arial"/>
          <w:sz w:val="22"/>
          <w:szCs w:val="22"/>
        </w:rPr>
        <w:t xml:space="preserve"> objemného odpadu a nebezpečných složek komunálního odpad</w:t>
      </w:r>
      <w:r w:rsidR="00FB526C">
        <w:rPr>
          <w:rFonts w:ascii="Arial" w:hAnsi="Arial" w:cs="Arial"/>
          <w:sz w:val="22"/>
          <w:szCs w:val="22"/>
        </w:rPr>
        <w:t xml:space="preserve">u </w:t>
      </w:r>
      <w:r w:rsidR="00FB526C">
        <w:rPr>
          <w:rFonts w:ascii="Arial" w:hAnsi="Arial" w:cs="Arial"/>
        </w:rPr>
        <w:t>(viz čl. 4)</w:t>
      </w:r>
      <w:r w:rsidR="00FB526C" w:rsidRPr="003B2478">
        <w:rPr>
          <w:rFonts w:ascii="Arial" w:hAnsi="Arial" w:cs="Arial"/>
        </w:rPr>
        <w:t>.</w:t>
      </w:r>
    </w:p>
    <w:p w14:paraId="384F6D7F" w14:textId="46676135" w:rsidR="003B2478" w:rsidRPr="003B2478" w:rsidRDefault="00413249" w:rsidP="003B2478">
      <w:pPr>
        <w:pStyle w:val="Odstavecseseznamem"/>
        <w:numPr>
          <w:ilvl w:val="0"/>
          <w:numId w:val="29"/>
        </w:numPr>
        <w:rPr>
          <w:rFonts w:ascii="Arial" w:eastAsia="Times New Roman" w:hAnsi="Arial" w:cs="Arial"/>
          <w:lang w:eastAsia="cs-CZ"/>
        </w:rPr>
      </w:pPr>
      <w:r w:rsidRPr="003B2478">
        <w:rPr>
          <w:rFonts w:ascii="Arial" w:hAnsi="Arial" w:cs="Arial"/>
        </w:rPr>
        <w:t xml:space="preserve">Pneumatiky: </w:t>
      </w:r>
      <w:r w:rsidR="003B2478" w:rsidRPr="003B2478">
        <w:rPr>
          <w:rFonts w:ascii="Arial" w:eastAsia="Times New Roman" w:hAnsi="Arial" w:cs="Arial"/>
          <w:lang w:eastAsia="cs-CZ"/>
        </w:rPr>
        <w:t xml:space="preserve">Pneumatiky </w:t>
      </w:r>
      <w:r w:rsidR="003B2478">
        <w:rPr>
          <w:rFonts w:ascii="Arial" w:eastAsia="Times New Roman" w:hAnsi="Arial" w:cs="Arial"/>
          <w:lang w:eastAsia="cs-CZ"/>
        </w:rPr>
        <w:t xml:space="preserve">z motocyklů a osobních automobilů </w:t>
      </w:r>
      <w:r w:rsidR="003B2478" w:rsidRPr="003B2478">
        <w:rPr>
          <w:rFonts w:ascii="Arial" w:eastAsia="Times New Roman" w:hAnsi="Arial" w:cs="Arial"/>
          <w:lang w:eastAsia="cs-CZ"/>
        </w:rPr>
        <w:t xml:space="preserve">lze odložit bezplatně </w:t>
      </w:r>
      <w:r w:rsidR="00FE025E">
        <w:rPr>
          <w:rFonts w:ascii="Arial" w:eastAsia="Times New Roman" w:hAnsi="Arial" w:cs="Arial"/>
          <w:lang w:eastAsia="cs-CZ"/>
        </w:rPr>
        <w:t xml:space="preserve">v </w:t>
      </w:r>
      <w:r w:rsidR="003B2478" w:rsidRPr="003B2478">
        <w:rPr>
          <w:rFonts w:ascii="Arial" w:eastAsia="Times New Roman" w:hAnsi="Arial" w:cs="Arial"/>
          <w:lang w:eastAsia="cs-CZ"/>
        </w:rPr>
        <w:t>maximáln</w:t>
      </w:r>
      <w:r w:rsidR="00FE025E">
        <w:rPr>
          <w:rFonts w:ascii="Arial" w:eastAsia="Times New Roman" w:hAnsi="Arial" w:cs="Arial"/>
          <w:lang w:eastAsia="cs-CZ"/>
        </w:rPr>
        <w:t>ím</w:t>
      </w:r>
      <w:r w:rsidR="003B2478" w:rsidRPr="003B2478">
        <w:rPr>
          <w:rFonts w:ascii="Arial" w:eastAsia="Times New Roman" w:hAnsi="Arial" w:cs="Arial"/>
          <w:lang w:eastAsia="cs-CZ"/>
        </w:rPr>
        <w:t xml:space="preserve"> množství 5 ks od jedné domácnosti při jednom svozu objemného odpadu</w:t>
      </w:r>
      <w:r w:rsidR="00FE025E">
        <w:rPr>
          <w:rFonts w:ascii="Arial" w:eastAsia="Times New Roman" w:hAnsi="Arial" w:cs="Arial"/>
          <w:lang w:eastAsia="cs-CZ"/>
        </w:rPr>
        <w:t xml:space="preserve"> </w:t>
      </w:r>
      <w:r w:rsidR="00FB526C">
        <w:rPr>
          <w:rFonts w:ascii="Arial" w:eastAsia="Times New Roman" w:hAnsi="Arial" w:cs="Arial"/>
          <w:lang w:eastAsia="cs-CZ"/>
        </w:rPr>
        <w:t>(viz čl. 4)</w:t>
      </w:r>
      <w:r w:rsidR="00FB526C" w:rsidRPr="003B2478">
        <w:rPr>
          <w:rFonts w:ascii="Arial" w:eastAsia="Times New Roman" w:hAnsi="Arial" w:cs="Arial"/>
          <w:lang w:eastAsia="cs-CZ"/>
        </w:rPr>
        <w:t>.</w:t>
      </w:r>
      <w:r w:rsidR="00FB526C">
        <w:rPr>
          <w:rFonts w:ascii="Arial" w:eastAsia="Times New Roman" w:hAnsi="Arial" w:cs="Arial"/>
          <w:lang w:eastAsia="cs-CZ"/>
        </w:rPr>
        <w:t xml:space="preserve"> </w:t>
      </w:r>
    </w:p>
    <w:p w14:paraId="107C2848" w14:textId="77777777" w:rsidR="00191CB6" w:rsidRPr="00191CB6" w:rsidRDefault="00191CB6" w:rsidP="00191CB6">
      <w:pPr>
        <w:jc w:val="center"/>
        <w:rPr>
          <w:rFonts w:ascii="Arial" w:hAnsi="Arial" w:cs="Arial"/>
          <w:b/>
          <w:sz w:val="22"/>
          <w:szCs w:val="22"/>
        </w:rPr>
      </w:pPr>
    </w:p>
    <w:p w14:paraId="65483761" w14:textId="6546AE7E" w:rsidR="0008050D" w:rsidRPr="0008050D" w:rsidRDefault="0008050D" w:rsidP="0008050D">
      <w:pPr>
        <w:jc w:val="center"/>
        <w:rPr>
          <w:rFonts w:ascii="Arial" w:hAnsi="Arial" w:cs="Arial"/>
          <w:b/>
          <w:sz w:val="22"/>
          <w:szCs w:val="22"/>
        </w:rPr>
      </w:pPr>
      <w:r w:rsidRPr="0008050D">
        <w:rPr>
          <w:rFonts w:ascii="Arial" w:hAnsi="Arial" w:cs="Arial"/>
          <w:b/>
          <w:sz w:val="22"/>
          <w:szCs w:val="22"/>
        </w:rPr>
        <w:t xml:space="preserve">Čl. </w:t>
      </w:r>
      <w:r w:rsidR="00191CB6">
        <w:rPr>
          <w:rFonts w:ascii="Arial" w:hAnsi="Arial" w:cs="Arial"/>
          <w:b/>
          <w:sz w:val="22"/>
          <w:szCs w:val="22"/>
        </w:rPr>
        <w:t>10</w:t>
      </w:r>
    </w:p>
    <w:p w14:paraId="1E815E58" w14:textId="77777777" w:rsidR="0008050D" w:rsidRPr="0008050D" w:rsidRDefault="0008050D" w:rsidP="0008050D">
      <w:pPr>
        <w:jc w:val="center"/>
        <w:rPr>
          <w:rFonts w:ascii="Arial" w:hAnsi="Arial" w:cs="Arial"/>
          <w:b/>
          <w:sz w:val="22"/>
          <w:szCs w:val="22"/>
        </w:rPr>
      </w:pPr>
      <w:r w:rsidRPr="0008050D">
        <w:rPr>
          <w:rFonts w:ascii="Arial" w:hAnsi="Arial" w:cs="Arial"/>
          <w:b/>
          <w:sz w:val="22"/>
          <w:szCs w:val="22"/>
        </w:rPr>
        <w:t>Zrušovací ustanovení</w:t>
      </w:r>
    </w:p>
    <w:p w14:paraId="640D0685" w14:textId="77777777" w:rsidR="0008050D" w:rsidRPr="0008050D" w:rsidRDefault="0008050D" w:rsidP="0008050D">
      <w:pPr>
        <w:jc w:val="center"/>
        <w:rPr>
          <w:rFonts w:ascii="Arial" w:hAnsi="Arial" w:cs="Arial"/>
          <w:b/>
          <w:sz w:val="22"/>
          <w:szCs w:val="22"/>
        </w:rPr>
      </w:pPr>
    </w:p>
    <w:p w14:paraId="62C01121" w14:textId="60F5D0B5" w:rsidR="0008050D" w:rsidRPr="0008050D" w:rsidRDefault="0008050D" w:rsidP="007C59FA">
      <w:pPr>
        <w:rPr>
          <w:rFonts w:ascii="Arial" w:hAnsi="Arial" w:cs="Arial"/>
          <w:bCs/>
          <w:sz w:val="22"/>
          <w:szCs w:val="22"/>
        </w:rPr>
      </w:pPr>
      <w:r w:rsidRPr="0008050D">
        <w:rPr>
          <w:rFonts w:ascii="Arial" w:hAnsi="Arial" w:cs="Arial"/>
          <w:bCs/>
          <w:sz w:val="22"/>
          <w:szCs w:val="22"/>
        </w:rPr>
        <w:t xml:space="preserve">Zrušuje se </w:t>
      </w:r>
      <w:r w:rsidR="007C59FA" w:rsidRPr="007C59FA">
        <w:rPr>
          <w:rFonts w:ascii="Arial" w:hAnsi="Arial" w:cs="Arial"/>
          <w:bCs/>
          <w:sz w:val="22"/>
          <w:szCs w:val="22"/>
        </w:rPr>
        <w:t>Obecně závazná vyhláška obce Lhota</w:t>
      </w:r>
      <w:r w:rsidR="007C59FA">
        <w:rPr>
          <w:rFonts w:ascii="Arial" w:hAnsi="Arial" w:cs="Arial"/>
          <w:bCs/>
          <w:sz w:val="22"/>
          <w:szCs w:val="22"/>
        </w:rPr>
        <w:t xml:space="preserve"> </w:t>
      </w:r>
      <w:r w:rsidR="007C59FA" w:rsidRPr="007C59FA">
        <w:rPr>
          <w:rFonts w:ascii="Arial" w:hAnsi="Arial" w:cs="Arial"/>
          <w:bCs/>
          <w:sz w:val="22"/>
          <w:szCs w:val="22"/>
        </w:rPr>
        <w:t>o stanovení obecního systému odpadového hospodářství</w:t>
      </w:r>
      <w:r w:rsidR="00F87CFB" w:rsidRPr="00F87CFB">
        <w:rPr>
          <w:rFonts w:ascii="Arial" w:hAnsi="Arial" w:cs="Arial"/>
          <w:bCs/>
          <w:sz w:val="22"/>
          <w:szCs w:val="22"/>
        </w:rPr>
        <w:t xml:space="preserve"> </w:t>
      </w:r>
      <w:r w:rsidR="00F87CFB">
        <w:rPr>
          <w:rFonts w:ascii="Arial" w:hAnsi="Arial" w:cs="Arial"/>
          <w:bCs/>
          <w:sz w:val="22"/>
          <w:szCs w:val="22"/>
        </w:rPr>
        <w:t>z</w:t>
      </w:r>
      <w:r w:rsidR="007C59FA">
        <w:rPr>
          <w:rFonts w:ascii="Arial" w:hAnsi="Arial" w:cs="Arial"/>
          <w:bCs/>
          <w:sz w:val="22"/>
          <w:szCs w:val="22"/>
        </w:rPr>
        <w:t> ze 17</w:t>
      </w:r>
      <w:r w:rsidR="00413249">
        <w:rPr>
          <w:rFonts w:ascii="Arial" w:hAnsi="Arial" w:cs="Arial"/>
          <w:bCs/>
          <w:sz w:val="22"/>
          <w:szCs w:val="22"/>
        </w:rPr>
        <w:t>.</w:t>
      </w:r>
      <w:r w:rsidR="00FE025E">
        <w:rPr>
          <w:rFonts w:ascii="Arial" w:hAnsi="Arial" w:cs="Arial"/>
          <w:bCs/>
          <w:sz w:val="22"/>
          <w:szCs w:val="22"/>
        </w:rPr>
        <w:t xml:space="preserve"> </w:t>
      </w:r>
      <w:r w:rsidR="007C59FA">
        <w:rPr>
          <w:rFonts w:ascii="Arial" w:hAnsi="Arial" w:cs="Arial"/>
          <w:bCs/>
          <w:sz w:val="22"/>
          <w:szCs w:val="22"/>
        </w:rPr>
        <w:t>12</w:t>
      </w:r>
      <w:r w:rsidR="00413249">
        <w:rPr>
          <w:rFonts w:ascii="Arial" w:hAnsi="Arial" w:cs="Arial"/>
          <w:bCs/>
          <w:sz w:val="22"/>
          <w:szCs w:val="22"/>
        </w:rPr>
        <w:t>.</w:t>
      </w:r>
      <w:r w:rsidR="00FE025E">
        <w:rPr>
          <w:rFonts w:ascii="Arial" w:hAnsi="Arial" w:cs="Arial"/>
          <w:bCs/>
          <w:sz w:val="22"/>
          <w:szCs w:val="22"/>
        </w:rPr>
        <w:t xml:space="preserve"> </w:t>
      </w:r>
      <w:r w:rsidR="007C59FA">
        <w:rPr>
          <w:rFonts w:ascii="Arial" w:hAnsi="Arial" w:cs="Arial"/>
          <w:bCs/>
          <w:sz w:val="22"/>
          <w:szCs w:val="22"/>
        </w:rPr>
        <w:t>2024</w:t>
      </w:r>
      <w:r w:rsidR="00F87CFB">
        <w:rPr>
          <w:rFonts w:ascii="Arial" w:hAnsi="Arial" w:cs="Arial"/>
          <w:bCs/>
          <w:sz w:val="22"/>
          <w:szCs w:val="22"/>
        </w:rPr>
        <w:t>.</w:t>
      </w:r>
    </w:p>
    <w:p w14:paraId="7D5DFFA4" w14:textId="77777777" w:rsidR="0008050D" w:rsidRPr="00FB6AE5" w:rsidRDefault="0008050D" w:rsidP="00A2343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1A2542EC" w14:textId="656B08A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7CFB">
        <w:rPr>
          <w:rFonts w:ascii="Arial" w:hAnsi="Arial" w:cs="Arial"/>
          <w:b/>
          <w:sz w:val="22"/>
          <w:szCs w:val="22"/>
        </w:rPr>
        <w:t>1</w:t>
      </w:r>
      <w:r w:rsidR="003B2478">
        <w:rPr>
          <w:rFonts w:ascii="Arial" w:hAnsi="Arial" w:cs="Arial"/>
          <w:b/>
          <w:sz w:val="22"/>
          <w:szCs w:val="22"/>
        </w:rPr>
        <w:t>1</w:t>
      </w:r>
    </w:p>
    <w:p w14:paraId="22851374" w14:textId="77777777" w:rsidR="0024722A" w:rsidRPr="00FB6AE5" w:rsidRDefault="00F87C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6481A1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1CB83E" w14:textId="43846057" w:rsidR="0025354B" w:rsidRPr="00765052" w:rsidRDefault="0024722A" w:rsidP="00F87CFB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6B28">
        <w:rPr>
          <w:rFonts w:ascii="Arial" w:hAnsi="Arial" w:cs="Arial"/>
          <w:sz w:val="22"/>
          <w:szCs w:val="22"/>
        </w:rPr>
        <w:t>1.</w:t>
      </w:r>
      <w:r w:rsidR="0055217D">
        <w:rPr>
          <w:rFonts w:ascii="Arial" w:hAnsi="Arial" w:cs="Arial"/>
          <w:sz w:val="22"/>
          <w:szCs w:val="22"/>
        </w:rPr>
        <w:t xml:space="preserve"> 7</w:t>
      </w:r>
      <w:r w:rsidR="00C36B28">
        <w:rPr>
          <w:rFonts w:ascii="Arial" w:hAnsi="Arial" w:cs="Arial"/>
          <w:sz w:val="22"/>
          <w:szCs w:val="22"/>
        </w:rPr>
        <w:t>. 202</w:t>
      </w:r>
      <w:r w:rsidR="004F6DEC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sz w:val="22"/>
          <w:szCs w:val="22"/>
        </w:rPr>
        <w:t xml:space="preserve"> </w:t>
      </w:r>
    </w:p>
    <w:p w14:paraId="23D519F6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151BA86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776D7D72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3E72654B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5A4B0DB" w14:textId="77777777" w:rsidR="00C36B28" w:rsidRDefault="00C36B2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A21ADC1" w14:textId="77777777" w:rsidR="00C36B28" w:rsidRDefault="00C36B2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13AA0A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26F352C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F57B64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</w:t>
      </w:r>
      <w:r w:rsidR="00431D96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31D96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431D96">
        <w:rPr>
          <w:rFonts w:ascii="Arial" w:hAnsi="Arial" w:cs="Arial"/>
          <w:bCs/>
          <w:sz w:val="22"/>
          <w:szCs w:val="22"/>
        </w:rPr>
        <w:t>….</w:t>
      </w:r>
      <w:r w:rsidR="00E2491F">
        <w:rPr>
          <w:rFonts w:ascii="Arial" w:hAnsi="Arial" w:cs="Arial"/>
          <w:bCs/>
          <w:sz w:val="22"/>
          <w:szCs w:val="22"/>
        </w:rPr>
        <w:t>..</w:t>
      </w:r>
    </w:p>
    <w:p w14:paraId="42F85460" w14:textId="77777777" w:rsidR="0024722A" w:rsidRPr="00FB6AE5" w:rsidRDefault="00431D9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FB2F82">
        <w:rPr>
          <w:rFonts w:ascii="Arial" w:hAnsi="Arial" w:cs="Arial"/>
          <w:bCs/>
          <w:i/>
          <w:sz w:val="22"/>
          <w:szCs w:val="22"/>
        </w:rPr>
        <w:t>Ing. Tomáš Luhan</w:t>
      </w:r>
      <w:r w:rsidR="00A2343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2343A">
        <w:rPr>
          <w:rFonts w:ascii="Arial" w:hAnsi="Arial" w:cs="Arial"/>
          <w:bCs/>
          <w:sz w:val="22"/>
          <w:szCs w:val="22"/>
        </w:rPr>
        <w:t xml:space="preserve">    </w:t>
      </w:r>
      <w:r w:rsidR="00FB2F82">
        <w:rPr>
          <w:rFonts w:ascii="Arial" w:hAnsi="Arial" w:cs="Arial"/>
          <w:bCs/>
          <w:i/>
          <w:sz w:val="22"/>
          <w:szCs w:val="22"/>
        </w:rPr>
        <w:t>Věra Nedvědová</w:t>
      </w:r>
      <w:r w:rsidR="00A2343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BC9C283" w14:textId="0A65A6A2" w:rsidR="0024722A" w:rsidRPr="00FB6AE5" w:rsidRDefault="00431D9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7C59FA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FB2F8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637FB0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A6E4EE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29A97C0B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660875F4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6DA2082D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7C208DD2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07EDABA7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43DECA9C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550F8B34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5BDE4351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78C9747B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63868EC3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3C1FC740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2A2BB81F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6A4336E1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2F9D49BB" w14:textId="77777777" w:rsidR="00C36B28" w:rsidRDefault="00C36B28">
      <w:pPr>
        <w:rPr>
          <w:rFonts w:ascii="Arial" w:hAnsi="Arial" w:cs="Arial"/>
          <w:sz w:val="22"/>
          <w:szCs w:val="22"/>
        </w:rPr>
      </w:pPr>
    </w:p>
    <w:p w14:paraId="4022454E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7DC987E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</w:t>
      </w:r>
      <w:proofErr w:type="gramStart"/>
      <w:r w:rsidR="00D736CB">
        <w:rPr>
          <w:rFonts w:ascii="Arial" w:hAnsi="Arial" w:cs="Arial"/>
          <w:sz w:val="22"/>
          <w:szCs w:val="22"/>
        </w:rPr>
        <w:t>…….</w:t>
      </w:r>
      <w:proofErr w:type="gramEnd"/>
      <w:r w:rsidR="00D736CB">
        <w:rPr>
          <w:rFonts w:ascii="Arial" w:hAnsi="Arial" w:cs="Arial"/>
          <w:sz w:val="22"/>
          <w:szCs w:val="22"/>
        </w:rPr>
        <w:t>.</w:t>
      </w:r>
    </w:p>
    <w:p w14:paraId="3770204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924E61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p w14:paraId="7ED5C73C" w14:textId="77777777" w:rsidR="00BE2B8C" w:rsidRDefault="00BE2B8C" w:rsidP="00036778">
      <w:pPr>
        <w:rPr>
          <w:rFonts w:ascii="Arial" w:hAnsi="Arial" w:cs="Arial"/>
          <w:sz w:val="22"/>
          <w:szCs w:val="22"/>
        </w:rPr>
      </w:pPr>
    </w:p>
    <w:sectPr w:rsidR="00BE2B8C" w:rsidSect="00431D96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E678" w14:textId="77777777" w:rsidR="00E319A1" w:rsidRDefault="00E319A1">
      <w:r>
        <w:separator/>
      </w:r>
    </w:p>
  </w:endnote>
  <w:endnote w:type="continuationSeparator" w:id="0">
    <w:p w14:paraId="5E24A700" w14:textId="77777777" w:rsidR="00E319A1" w:rsidRDefault="00E3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altName w:val="Segoe Print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A8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FF9">
      <w:rPr>
        <w:noProof/>
      </w:rPr>
      <w:t>2</w:t>
    </w:r>
    <w:r>
      <w:fldChar w:fldCharType="end"/>
    </w:r>
  </w:p>
  <w:p w14:paraId="7173DE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A051" w14:textId="77777777" w:rsidR="00E319A1" w:rsidRDefault="00E319A1">
      <w:r>
        <w:separator/>
      </w:r>
    </w:p>
  </w:footnote>
  <w:footnote w:type="continuationSeparator" w:id="0">
    <w:p w14:paraId="5CA69E34" w14:textId="77777777" w:rsidR="00E319A1" w:rsidRDefault="00E319A1">
      <w:r>
        <w:continuationSeparator/>
      </w:r>
    </w:p>
  </w:footnote>
  <w:footnote w:id="1">
    <w:p w14:paraId="49C8919E" w14:textId="77777777" w:rsidR="006D43EC" w:rsidRDefault="006D43EC" w:rsidP="006D43E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E8743D3" w14:textId="77777777" w:rsidR="006D43EC" w:rsidRDefault="006D43EC" w:rsidP="006D43EC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5F121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2CC1"/>
    <w:multiLevelType w:val="hybridMultilevel"/>
    <w:tmpl w:val="5BE27BD6"/>
    <w:lvl w:ilvl="0" w:tplc="E2940DDA">
      <w:start w:val="1"/>
      <w:numFmt w:val="lowerLetter"/>
      <w:lvlText w:val="%1)"/>
      <w:lvlJc w:val="left"/>
      <w:pPr>
        <w:ind w:left="1212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0108B9"/>
    <w:multiLevelType w:val="hybridMultilevel"/>
    <w:tmpl w:val="109C8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A1689C"/>
    <w:multiLevelType w:val="hybridMultilevel"/>
    <w:tmpl w:val="109C8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0175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A3C79"/>
    <w:multiLevelType w:val="hybridMultilevel"/>
    <w:tmpl w:val="249498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9215B"/>
    <w:multiLevelType w:val="hybridMultilevel"/>
    <w:tmpl w:val="A21C7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50ED4"/>
    <w:multiLevelType w:val="hybridMultilevel"/>
    <w:tmpl w:val="0A4AF556"/>
    <w:lvl w:ilvl="0" w:tplc="D83AD0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01F6237"/>
    <w:multiLevelType w:val="hybridMultilevel"/>
    <w:tmpl w:val="2924B6CA"/>
    <w:lvl w:ilvl="0" w:tplc="D83AD0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3A961ED4"/>
    <w:lvl w:ilvl="0" w:tplc="F928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4923997">
    <w:abstractNumId w:val="7"/>
  </w:num>
  <w:num w:numId="2" w16cid:durableId="504129484">
    <w:abstractNumId w:val="28"/>
  </w:num>
  <w:num w:numId="3" w16cid:durableId="1091240328">
    <w:abstractNumId w:val="3"/>
  </w:num>
  <w:num w:numId="4" w16cid:durableId="1902597276">
    <w:abstractNumId w:val="21"/>
  </w:num>
  <w:num w:numId="5" w16cid:durableId="726226798">
    <w:abstractNumId w:val="18"/>
  </w:num>
  <w:num w:numId="6" w16cid:durableId="1672222904">
    <w:abstractNumId w:val="25"/>
  </w:num>
  <w:num w:numId="7" w16cid:durableId="139080034">
    <w:abstractNumId w:val="8"/>
  </w:num>
  <w:num w:numId="8" w16cid:durableId="827399193">
    <w:abstractNumId w:val="1"/>
  </w:num>
  <w:num w:numId="9" w16cid:durableId="312566993">
    <w:abstractNumId w:val="24"/>
  </w:num>
  <w:num w:numId="10" w16cid:durableId="66652513">
    <w:abstractNumId w:val="20"/>
  </w:num>
  <w:num w:numId="11" w16cid:durableId="2093382813">
    <w:abstractNumId w:val="19"/>
  </w:num>
  <w:num w:numId="12" w16cid:durableId="1400638646">
    <w:abstractNumId w:val="10"/>
  </w:num>
  <w:num w:numId="13" w16cid:durableId="1362048682">
    <w:abstractNumId w:val="22"/>
  </w:num>
  <w:num w:numId="14" w16cid:durableId="1585332532">
    <w:abstractNumId w:val="27"/>
  </w:num>
  <w:num w:numId="15" w16cid:durableId="895823804">
    <w:abstractNumId w:val="12"/>
  </w:num>
  <w:num w:numId="16" w16cid:durableId="62139926">
    <w:abstractNumId w:val="26"/>
  </w:num>
  <w:num w:numId="17" w16cid:durableId="974026837">
    <w:abstractNumId w:val="4"/>
  </w:num>
  <w:num w:numId="18" w16cid:durableId="703561578">
    <w:abstractNumId w:val="0"/>
  </w:num>
  <w:num w:numId="19" w16cid:durableId="1247347290">
    <w:abstractNumId w:val="13"/>
  </w:num>
  <w:num w:numId="20" w16cid:durableId="1646467691">
    <w:abstractNumId w:val="16"/>
  </w:num>
  <w:num w:numId="21" w16cid:durableId="832722068">
    <w:abstractNumId w:val="11"/>
  </w:num>
  <w:num w:numId="22" w16cid:durableId="2065445653">
    <w:abstractNumId w:val="9"/>
  </w:num>
  <w:num w:numId="23" w16cid:durableId="1604191805">
    <w:abstractNumId w:val="17"/>
  </w:num>
  <w:num w:numId="24" w16cid:durableId="1876379723">
    <w:abstractNumId w:val="23"/>
  </w:num>
  <w:num w:numId="25" w16cid:durableId="797911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1732065">
    <w:abstractNumId w:val="14"/>
  </w:num>
  <w:num w:numId="27" w16cid:durableId="1372801893">
    <w:abstractNumId w:val="2"/>
  </w:num>
  <w:num w:numId="28" w16cid:durableId="689721995">
    <w:abstractNumId w:val="6"/>
  </w:num>
  <w:num w:numId="29" w16cid:durableId="834614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4C4"/>
    <w:rsid w:val="0001798E"/>
    <w:rsid w:val="000264E4"/>
    <w:rsid w:val="000332D7"/>
    <w:rsid w:val="000365BB"/>
    <w:rsid w:val="00036778"/>
    <w:rsid w:val="00042756"/>
    <w:rsid w:val="00050F69"/>
    <w:rsid w:val="00053446"/>
    <w:rsid w:val="0005615E"/>
    <w:rsid w:val="0008050D"/>
    <w:rsid w:val="0008576A"/>
    <w:rsid w:val="00091C2D"/>
    <w:rsid w:val="00095548"/>
    <w:rsid w:val="000B48CA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0E5"/>
    <w:rsid w:val="00134AA3"/>
    <w:rsid w:val="00143C84"/>
    <w:rsid w:val="00145FF9"/>
    <w:rsid w:val="00147357"/>
    <w:rsid w:val="001476FD"/>
    <w:rsid w:val="001510B8"/>
    <w:rsid w:val="00191CB6"/>
    <w:rsid w:val="001A5FC6"/>
    <w:rsid w:val="001D486F"/>
    <w:rsid w:val="001E51CD"/>
    <w:rsid w:val="001F2314"/>
    <w:rsid w:val="001F3881"/>
    <w:rsid w:val="001F3D77"/>
    <w:rsid w:val="00200839"/>
    <w:rsid w:val="00206275"/>
    <w:rsid w:val="00216774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81957"/>
    <w:rsid w:val="002854DF"/>
    <w:rsid w:val="002A3581"/>
    <w:rsid w:val="002C32D2"/>
    <w:rsid w:val="002C442F"/>
    <w:rsid w:val="002D5BB3"/>
    <w:rsid w:val="002E4A93"/>
    <w:rsid w:val="002E6E3B"/>
    <w:rsid w:val="00343C2D"/>
    <w:rsid w:val="00373576"/>
    <w:rsid w:val="003846A5"/>
    <w:rsid w:val="003934B6"/>
    <w:rsid w:val="003A7FC0"/>
    <w:rsid w:val="003B2478"/>
    <w:rsid w:val="003C7DD5"/>
    <w:rsid w:val="003E638E"/>
    <w:rsid w:val="003E63E2"/>
    <w:rsid w:val="003E7B1D"/>
    <w:rsid w:val="003F1228"/>
    <w:rsid w:val="003F24A0"/>
    <w:rsid w:val="003F30AE"/>
    <w:rsid w:val="004051F9"/>
    <w:rsid w:val="00413249"/>
    <w:rsid w:val="00423176"/>
    <w:rsid w:val="004234F8"/>
    <w:rsid w:val="0042723F"/>
    <w:rsid w:val="00431942"/>
    <w:rsid w:val="00431D96"/>
    <w:rsid w:val="00434FDF"/>
    <w:rsid w:val="004445FE"/>
    <w:rsid w:val="00452597"/>
    <w:rsid w:val="00464839"/>
    <w:rsid w:val="004761AD"/>
    <w:rsid w:val="004873D5"/>
    <w:rsid w:val="004A4F34"/>
    <w:rsid w:val="004D5E82"/>
    <w:rsid w:val="004F6DEC"/>
    <w:rsid w:val="00503F10"/>
    <w:rsid w:val="00505735"/>
    <w:rsid w:val="00525ABF"/>
    <w:rsid w:val="00547890"/>
    <w:rsid w:val="0055217D"/>
    <w:rsid w:val="0055247F"/>
    <w:rsid w:val="00553B33"/>
    <w:rsid w:val="00553B78"/>
    <w:rsid w:val="00555FEB"/>
    <w:rsid w:val="00560DED"/>
    <w:rsid w:val="005864FE"/>
    <w:rsid w:val="00587890"/>
    <w:rsid w:val="0059236D"/>
    <w:rsid w:val="0059780C"/>
    <w:rsid w:val="005A2569"/>
    <w:rsid w:val="005A3FFD"/>
    <w:rsid w:val="005C7494"/>
    <w:rsid w:val="005D79A9"/>
    <w:rsid w:val="005E114F"/>
    <w:rsid w:val="005E3069"/>
    <w:rsid w:val="005E3CED"/>
    <w:rsid w:val="005F0210"/>
    <w:rsid w:val="00617FE8"/>
    <w:rsid w:val="0062284A"/>
    <w:rsid w:val="006277AF"/>
    <w:rsid w:val="00631701"/>
    <w:rsid w:val="00641107"/>
    <w:rsid w:val="00681245"/>
    <w:rsid w:val="006866EF"/>
    <w:rsid w:val="006D43EC"/>
    <w:rsid w:val="006F2112"/>
    <w:rsid w:val="00707FBF"/>
    <w:rsid w:val="0071246A"/>
    <w:rsid w:val="00714B2D"/>
    <w:rsid w:val="0072693E"/>
    <w:rsid w:val="0073528A"/>
    <w:rsid w:val="00740F45"/>
    <w:rsid w:val="00745703"/>
    <w:rsid w:val="007644D5"/>
    <w:rsid w:val="00765052"/>
    <w:rsid w:val="007873A2"/>
    <w:rsid w:val="007909DA"/>
    <w:rsid w:val="007936F7"/>
    <w:rsid w:val="00795009"/>
    <w:rsid w:val="00797A40"/>
    <w:rsid w:val="007A3B21"/>
    <w:rsid w:val="007A514D"/>
    <w:rsid w:val="007B599C"/>
    <w:rsid w:val="007C40FF"/>
    <w:rsid w:val="007C59FA"/>
    <w:rsid w:val="007E1DB2"/>
    <w:rsid w:val="007E2B21"/>
    <w:rsid w:val="007E7071"/>
    <w:rsid w:val="007E7F5B"/>
    <w:rsid w:val="008015C8"/>
    <w:rsid w:val="00823562"/>
    <w:rsid w:val="00824240"/>
    <w:rsid w:val="00833615"/>
    <w:rsid w:val="00836693"/>
    <w:rsid w:val="0083695F"/>
    <w:rsid w:val="00841C04"/>
    <w:rsid w:val="00841F59"/>
    <w:rsid w:val="00856F33"/>
    <w:rsid w:val="00860E3E"/>
    <w:rsid w:val="00870986"/>
    <w:rsid w:val="008729AA"/>
    <w:rsid w:val="00872F8B"/>
    <w:rsid w:val="00891D8D"/>
    <w:rsid w:val="008A0526"/>
    <w:rsid w:val="008B45CB"/>
    <w:rsid w:val="008E576D"/>
    <w:rsid w:val="009146F3"/>
    <w:rsid w:val="00937265"/>
    <w:rsid w:val="00951700"/>
    <w:rsid w:val="00956BA5"/>
    <w:rsid w:val="009774F4"/>
    <w:rsid w:val="00980DAC"/>
    <w:rsid w:val="009859B0"/>
    <w:rsid w:val="009A64B8"/>
    <w:rsid w:val="009B680A"/>
    <w:rsid w:val="009B77CC"/>
    <w:rsid w:val="009D06FC"/>
    <w:rsid w:val="009F0BD6"/>
    <w:rsid w:val="009F5BB9"/>
    <w:rsid w:val="00A2343A"/>
    <w:rsid w:val="00A23FF9"/>
    <w:rsid w:val="00A3762B"/>
    <w:rsid w:val="00A532C2"/>
    <w:rsid w:val="00A625BA"/>
    <w:rsid w:val="00A64714"/>
    <w:rsid w:val="00A76B2A"/>
    <w:rsid w:val="00A773EE"/>
    <w:rsid w:val="00A85B78"/>
    <w:rsid w:val="00A94551"/>
    <w:rsid w:val="00AA5A1D"/>
    <w:rsid w:val="00AB485D"/>
    <w:rsid w:val="00AB68EC"/>
    <w:rsid w:val="00AC2295"/>
    <w:rsid w:val="00AD0D21"/>
    <w:rsid w:val="00AF72CD"/>
    <w:rsid w:val="00B003BD"/>
    <w:rsid w:val="00B321B9"/>
    <w:rsid w:val="00B3452E"/>
    <w:rsid w:val="00B42462"/>
    <w:rsid w:val="00B50A52"/>
    <w:rsid w:val="00B7787C"/>
    <w:rsid w:val="00B947F5"/>
    <w:rsid w:val="00BA7164"/>
    <w:rsid w:val="00BC51C4"/>
    <w:rsid w:val="00BD3591"/>
    <w:rsid w:val="00BE2B8C"/>
    <w:rsid w:val="00BE323F"/>
    <w:rsid w:val="00BE4DFE"/>
    <w:rsid w:val="00BF0879"/>
    <w:rsid w:val="00C25DCE"/>
    <w:rsid w:val="00C36B28"/>
    <w:rsid w:val="00C3782E"/>
    <w:rsid w:val="00C5372A"/>
    <w:rsid w:val="00C61C59"/>
    <w:rsid w:val="00C67796"/>
    <w:rsid w:val="00C75F16"/>
    <w:rsid w:val="00C760DA"/>
    <w:rsid w:val="00C9368B"/>
    <w:rsid w:val="00CA55C0"/>
    <w:rsid w:val="00CB176B"/>
    <w:rsid w:val="00CB5754"/>
    <w:rsid w:val="00CD1C8D"/>
    <w:rsid w:val="00CE1581"/>
    <w:rsid w:val="00CF0B79"/>
    <w:rsid w:val="00CF6192"/>
    <w:rsid w:val="00D04C14"/>
    <w:rsid w:val="00D06252"/>
    <w:rsid w:val="00D226C7"/>
    <w:rsid w:val="00D2467D"/>
    <w:rsid w:val="00D25BA7"/>
    <w:rsid w:val="00D52378"/>
    <w:rsid w:val="00D662FA"/>
    <w:rsid w:val="00D7341B"/>
    <w:rsid w:val="00D736CB"/>
    <w:rsid w:val="00D773C5"/>
    <w:rsid w:val="00D91A41"/>
    <w:rsid w:val="00DB0CEC"/>
    <w:rsid w:val="00DB2051"/>
    <w:rsid w:val="00DE023F"/>
    <w:rsid w:val="00DE0A5F"/>
    <w:rsid w:val="00DE54A3"/>
    <w:rsid w:val="00E11050"/>
    <w:rsid w:val="00E2491F"/>
    <w:rsid w:val="00E30567"/>
    <w:rsid w:val="00E319A1"/>
    <w:rsid w:val="00E428C5"/>
    <w:rsid w:val="00E66B2E"/>
    <w:rsid w:val="00EA1B4D"/>
    <w:rsid w:val="00EB1D7D"/>
    <w:rsid w:val="00EB2DCF"/>
    <w:rsid w:val="00EF701F"/>
    <w:rsid w:val="00F00E31"/>
    <w:rsid w:val="00F10A3C"/>
    <w:rsid w:val="00F11FC3"/>
    <w:rsid w:val="00F14718"/>
    <w:rsid w:val="00F301DF"/>
    <w:rsid w:val="00F32A2D"/>
    <w:rsid w:val="00F3769C"/>
    <w:rsid w:val="00F47FED"/>
    <w:rsid w:val="00F71191"/>
    <w:rsid w:val="00F724DF"/>
    <w:rsid w:val="00F76A45"/>
    <w:rsid w:val="00F77173"/>
    <w:rsid w:val="00F87C7D"/>
    <w:rsid w:val="00F87CFB"/>
    <w:rsid w:val="00FA31E9"/>
    <w:rsid w:val="00FB2F82"/>
    <w:rsid w:val="00FB36A3"/>
    <w:rsid w:val="00FB526C"/>
    <w:rsid w:val="00FB6AE5"/>
    <w:rsid w:val="00FC63B0"/>
    <w:rsid w:val="00FE025E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912F7"/>
  <w15:chartTrackingRefBased/>
  <w15:docId w15:val="{795459A5-2B08-46F6-918B-D572AC39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E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63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4D5E8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D5E82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3E63E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E63E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3E63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3E63E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link w:val="Textpoznpodarou"/>
    <w:semiHidden/>
    <w:rsid w:val="006D43EC"/>
    <w:rPr>
      <w:noProof/>
    </w:rPr>
  </w:style>
  <w:style w:type="character" w:customStyle="1" w:styleId="Nadpis2Char">
    <w:name w:val="Nadpis 2 Char"/>
    <w:link w:val="Nadpis2"/>
    <w:rsid w:val="00F10A3C"/>
    <w:rPr>
      <w:sz w:val="24"/>
      <w:u w:val="single"/>
    </w:rPr>
  </w:style>
  <w:style w:type="table" w:styleId="Mkatabulky">
    <w:name w:val="Table Grid"/>
    <w:basedOn w:val="Normlntabulka"/>
    <w:uiPriority w:val="59"/>
    <w:rsid w:val="0098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F705-79B9-4442-A7BD-BC7D01D6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Věra Nedvědová</cp:lastModifiedBy>
  <cp:revision>2</cp:revision>
  <cp:lastPrinted>2024-12-17T17:37:00Z</cp:lastPrinted>
  <dcterms:created xsi:type="dcterms:W3CDTF">2025-06-11T08:46:00Z</dcterms:created>
  <dcterms:modified xsi:type="dcterms:W3CDTF">2025-06-11T08:46:00Z</dcterms:modified>
</cp:coreProperties>
</file>