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numPr>
          <w:ilvl w:val="1"/>
          <w:numId w:val="2"/>
        </w:numPr>
        <w:spacing w:lineRule="atLeast" w:line="280"/>
        <w:jc w:val="center"/>
        <w:rPr>
          <w:b/>
          <w:b/>
          <w:bCs/>
          <w:spacing w:val="40"/>
          <w:sz w:val="32"/>
          <w:szCs w:val="32"/>
          <w:u w:val="none"/>
        </w:rPr>
      </w:pPr>
      <w:r>
        <w:rPr>
          <w:b/>
          <w:bCs/>
          <w:spacing w:val="40"/>
          <w:sz w:val="32"/>
          <w:szCs w:val="32"/>
          <w:u w:val="none"/>
        </w:rPr>
      </w:r>
    </w:p>
    <w:p>
      <w:pPr>
        <w:pStyle w:val="Normal"/>
        <w:jc w:val="center"/>
        <w:rPr>
          <w:sz w:val="26"/>
          <w:szCs w:val="26"/>
        </w:rPr>
      </w:pPr>
      <w:r>
        <w:rPr>
          <w:b/>
          <w:bCs/>
          <w:sz w:val="26"/>
          <w:szCs w:val="26"/>
        </w:rPr>
        <w:t>___________________________________________________________________</w:t>
      </w:r>
    </w:p>
    <w:p>
      <w:pPr>
        <w:pStyle w:val="Zhlav"/>
        <w:tabs>
          <w:tab w:val="clear" w:pos="4536"/>
          <w:tab w:val="clear" w:pos="9072"/>
        </w:tabs>
        <w:rPr>
          <w:sz w:val="26"/>
          <w:szCs w:val="26"/>
        </w:rPr>
      </w:pPr>
      <w:r>
        <w:rPr>
          <w:sz w:val="26"/>
          <w:szCs w:val="26"/>
        </w:rPr>
      </w:r>
    </w:p>
    <w:p>
      <w:pPr>
        <w:pStyle w:val="Normal"/>
        <w:spacing w:lineRule="auto" w:line="276"/>
        <w:jc w:val="center"/>
        <w:rPr/>
      </w:pPr>
      <w:r>
        <w:rPr>
          <w:rFonts w:cs="Arial" w:ascii="Arial" w:hAnsi="Arial"/>
          <w:b/>
        </w:rPr>
        <w:t>OBEC  JEDLÁ</w:t>
      </w:r>
    </w:p>
    <w:p>
      <w:pPr>
        <w:pStyle w:val="Normal"/>
        <w:spacing w:lineRule="auto" w:line="276"/>
        <w:jc w:val="center"/>
        <w:rPr/>
      </w:pPr>
      <w:r>
        <w:rPr>
          <w:rFonts w:cs="Arial" w:ascii="Arial" w:hAnsi="Arial"/>
          <w:b/>
        </w:rPr>
        <w:t>Zastupitelstvo obce Jedlá</w:t>
      </w:r>
    </w:p>
    <w:p>
      <w:pPr>
        <w:pStyle w:val="Normal"/>
        <w:spacing w:lineRule="auto" w:line="276"/>
        <w:jc w:val="center"/>
        <w:rPr/>
      </w:pPr>
      <w:r>
        <w:rPr>
          <w:rFonts w:cs="Arial" w:ascii="Arial" w:hAnsi="Arial"/>
          <w:b/>
        </w:rPr>
        <w:t>Obecně závazná vyhláška obce Jedlá č.1/2020,</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pPr>
      <w:r>
        <w:rPr>
          <w:rFonts w:cs="Arial" w:ascii="Arial" w:hAnsi="Arial"/>
          <w:sz w:val="22"/>
          <w:szCs w:val="22"/>
        </w:rPr>
        <w:t xml:space="preserve">Zastupitelstvo obce Jedlá se na svém zasedání dne </w:t>
      </w:r>
      <w:r>
        <w:rPr>
          <w:rFonts w:cs="Arial" w:ascii="Arial" w:hAnsi="Arial"/>
          <w:sz w:val="22"/>
          <w:szCs w:val="22"/>
        </w:rPr>
        <w:t>20.11.2020</w:t>
      </w:r>
      <w:r>
        <w:rPr>
          <w:rFonts w:cs="Arial" w:ascii="Arial" w:hAnsi="Arial"/>
          <w:sz w:val="22"/>
          <w:szCs w:val="22"/>
        </w:rPr>
        <w:t xml:space="preserve"> usnesením </w:t>
        <w:br/>
        <w:t>č.</w:t>
      </w:r>
      <w:r>
        <w:rPr>
          <w:rFonts w:cs="Arial" w:ascii="Arial" w:hAnsi="Arial"/>
          <w:sz w:val="22"/>
          <w:szCs w:val="22"/>
        </w:rPr>
        <w:t>5</w:t>
      </w:r>
      <w:r>
        <w:rPr>
          <w:rFonts w:cs="Arial" w:ascii="Arial" w:hAnsi="Arial"/>
          <w:sz w:val="22"/>
          <w:szCs w:val="22"/>
        </w:rPr>
        <w:t xml:space="preserve"> usneslo vydat na základě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2"/>
        </w:numPr>
        <w:spacing w:lineRule="auto" w:line="288"/>
        <w:jc w:val="both"/>
        <w:rPr/>
      </w:pPr>
      <w:r>
        <w:rPr>
          <w:rFonts w:cs="Arial" w:ascii="Arial" w:hAnsi="Arial"/>
          <w:sz w:val="22"/>
          <w:szCs w:val="22"/>
        </w:rPr>
        <w:t>Obec Jedlá touto vyhláškou zavádí místní poplatek ze psů (dále jen „poplatek“).</w:t>
      </w:r>
    </w:p>
    <w:p>
      <w:pPr>
        <w:pStyle w:val="Normal"/>
        <w:numPr>
          <w:ilvl w:val="0"/>
          <w:numId w:val="12"/>
        </w:numPr>
        <w:spacing w:lineRule="auto" w:line="288"/>
        <w:jc w:val="both"/>
        <w:rPr/>
      </w:pPr>
      <w:r>
        <w:rPr>
          <w:rFonts w:cs="Arial" w:ascii="Arial" w:hAnsi="Arial"/>
          <w:sz w:val="22"/>
          <w:szCs w:val="22"/>
        </w:rPr>
        <w:t>Správcem poplatku je obecní úřad, Jedlá čp 25, 584 01 Ledeč n.Sáz.</w:t>
      </w:r>
      <w:r>
        <w:rPr>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pPr>
      <w:r>
        <w:rPr>
          <w:rFonts w:cs="Arial" w:ascii="Arial" w:hAnsi="Arial"/>
        </w:rPr>
        <w:t>Poplatník a předmět poplatku</w:t>
      </w:r>
    </w:p>
    <w:p>
      <w:pPr>
        <w:pStyle w:val="Normal"/>
        <w:numPr>
          <w:ilvl w:val="0"/>
          <w:numId w:val="11"/>
        </w:numPr>
        <w:spacing w:lineRule="auto" w:line="288"/>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rStyle w:val="Ukotvenpoznmkypodarou"/>
          <w:rFonts w:cs="Arial" w:ascii="Arial" w:hAnsi="Arial"/>
          <w:sz w:val="22"/>
          <w:szCs w:val="22"/>
          <w:vertAlign w:val="superscript"/>
        </w:rPr>
        <w:footnoteReference w:id="3"/>
      </w:r>
    </w:p>
    <w:p>
      <w:pPr>
        <w:pStyle w:val="Normal"/>
        <w:numPr>
          <w:ilvl w:val="0"/>
          <w:numId w:val="11"/>
        </w:numPr>
        <w:spacing w:lineRule="auto" w:line="288"/>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4"/>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7"/>
        </w:numPr>
        <w:spacing w:lineRule="auto" w:line="288" w:before="120" w:after="0"/>
        <w:jc w:val="both"/>
        <w:rPr/>
      </w:pPr>
      <w:r>
        <w:rPr>
          <w:rFonts w:cs="Arial" w:ascii="Arial" w:hAnsi="Arial"/>
          <w:sz w:val="22"/>
          <w:szCs w:val="22"/>
        </w:rPr>
        <w:t>Poplatník je povinen ohlásit správci poplatku vznik své poplatkové povinnosti do 7 dnů ode dne, kdy se pes stal starším tří měsíců, nebo ode dne, kdy nabyl psa staršího tří měsíců.</w:t>
      </w:r>
      <w:r>
        <w:rPr>
          <w:rFonts w:cs="Arial" w:ascii="Arial" w:hAnsi="Arial"/>
          <w:i/>
          <w:sz w:val="22"/>
          <w:szCs w:val="22"/>
        </w:rPr>
        <w:t xml:space="preserve"> </w:t>
      </w:r>
      <w:r>
        <w:rPr>
          <w:rFonts w:cs="Arial" w:ascii="Arial" w:hAnsi="Arial"/>
          <w:sz w:val="22"/>
          <w:szCs w:val="22"/>
        </w:rPr>
        <w:t>Ve lhůtě 15 dnů je povinen ohlásit také zánik své poplatkové povinnosti (např. úhyn psa, jeho ztrátu, darování nebo prodej).</w:t>
      </w:r>
    </w:p>
    <w:p>
      <w:pPr>
        <w:pStyle w:val="Normal"/>
        <w:numPr>
          <w:ilvl w:val="0"/>
          <w:numId w:val="7"/>
        </w:numPr>
        <w:spacing w:lineRule="auto" w:line="288" w:before="120" w:after="0"/>
        <w:jc w:val="both"/>
        <w:rPr>
          <w:rFonts w:ascii="Arial" w:hAnsi="Arial" w:cs="Arial"/>
          <w:i/>
          <w:i/>
          <w:sz w:val="22"/>
          <w:szCs w:val="22"/>
        </w:rPr>
      </w:pPr>
      <w:r>
        <w:rPr>
          <w:rFonts w:cs="Arial" w:ascii="Arial" w:hAnsi="Arial"/>
          <w:sz w:val="22"/>
          <w:szCs w:val="22"/>
        </w:rPr>
        <w:t>Povinnost ohlásit držení psa má i osoba, která je od poplatku osvobozena</w:t>
      </w:r>
      <w:r>
        <w:rPr>
          <w:rFonts w:cs="Arial" w:ascii="Arial" w:hAnsi="Arial"/>
          <w:i/>
          <w:sz w:val="22"/>
          <w:szCs w:val="22"/>
        </w:rPr>
        <w:t>.</w:t>
      </w:r>
    </w:p>
    <w:p>
      <w:pPr>
        <w:pStyle w:val="Normal"/>
        <w:numPr>
          <w:ilvl w:val="0"/>
          <w:numId w:val="7"/>
        </w:numPr>
        <w:spacing w:lineRule="auto" w:line="288" w:before="120" w:after="0"/>
        <w:jc w:val="both"/>
        <w:rPr>
          <w:rFonts w:ascii="Arial" w:hAnsi="Arial" w:cs="Arial"/>
          <w:sz w:val="22"/>
          <w:szCs w:val="22"/>
        </w:rPr>
      </w:pPr>
      <w:r>
        <w:rPr>
          <w:rFonts w:cs="Arial" w:ascii="Arial" w:hAnsi="Arial"/>
          <w:sz w:val="22"/>
          <w:szCs w:val="22"/>
        </w:rPr>
        <w:t>V ohlášení poplatník uvede</w:t>
      </w:r>
      <w:r>
        <w:rPr>
          <w:rStyle w:val="Ukotvenpoznmkypodarou"/>
          <w:rFonts w:cs="Arial" w:ascii="Arial" w:hAnsi="Arial"/>
          <w:sz w:val="22"/>
          <w:szCs w:val="22"/>
        </w:rPr>
        <w:footnoteReference w:id="5"/>
      </w:r>
      <w:r>
        <w:rPr>
          <w:rFonts w:cs="Arial" w:ascii="Arial" w:hAnsi="Arial"/>
          <w:sz w:val="22"/>
          <w:szCs w:val="22"/>
        </w:rPr>
        <w:t xml:space="preserve"> </w:t>
      </w:r>
    </w:p>
    <w:p>
      <w:pPr>
        <w:pStyle w:val="Normal"/>
        <w:numPr>
          <w:ilvl w:val="1"/>
          <w:numId w:val="7"/>
        </w:numPr>
        <w:spacing w:lineRule="auto" w:line="288" w:before="120" w:after="0"/>
        <w:jc w:val="both"/>
        <w:rPr/>
      </w:pPr>
      <w:r>
        <w:rPr>
          <w:rFonts w:cs="Arial" w:ascii="Arial" w:hAnsi="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Normal"/>
        <w:numPr>
          <w:ilvl w:val="1"/>
          <w:numId w:val="7"/>
        </w:numPr>
        <w:spacing w:lineRule="auto" w:line="288"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7"/>
        </w:numPr>
        <w:spacing w:lineRule="auto" w:line="288" w:before="120" w:after="0"/>
        <w:jc w:val="both"/>
        <w:rPr>
          <w:rFonts w:ascii="Arial" w:hAnsi="Arial" w:cs="Arial"/>
          <w:sz w:val="22"/>
          <w:szCs w:val="22"/>
        </w:rPr>
      </w:pPr>
      <w:r>
        <w:rPr>
          <w:rFonts w:cs="Arial" w:ascii="Arial" w:hAnsi="Arial"/>
          <w:sz w:val="22"/>
          <w:szCs w:val="22"/>
        </w:rPr>
        <w:t xml:space="preserve">další údaje rozhodné pro stanovení poplatku, zejména stáří a počet držených psů, včetně skutečností zakládajících vznik nároku na úlevu nebo osvobození od poplatku. </w:t>
      </w:r>
    </w:p>
    <w:p>
      <w:pPr>
        <w:pStyle w:val="Normal"/>
        <w:numPr>
          <w:ilvl w:val="0"/>
          <w:numId w:val="7"/>
        </w:numPr>
        <w:spacing w:lineRule="auto" w:line="288" w:before="120" w:after="0"/>
        <w:jc w:val="both"/>
        <w:rPr/>
      </w:pPr>
      <w:r>
        <w:rPr>
          <w:rFonts w:cs="Arial" w:ascii="Arial" w:hAnsi="Arial"/>
          <w:sz w:val="22"/>
          <w:szCs w:val="22"/>
        </w:rPr>
        <w:t>Dojde-li ke změně údajů uvedených v ohlášení, je poplatník povinen tuto změnu oznámit do 20 dnů  ode dne, kdy nastala.</w:t>
      </w:r>
      <w:r>
        <w:rPr>
          <w:rStyle w:val="Ukotvenpoznmkypodarou"/>
          <w:rFonts w:cs="Arial" w:ascii="Arial" w:hAnsi="Arial"/>
          <w:sz w:val="22"/>
          <w:szCs w:val="22"/>
        </w:rPr>
        <w:footnoteReference w:id="6"/>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spacing w:lineRule="auto" w:line="288"/>
        <w:ind w:left="567" w:hanging="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6"/>
        </w:numPr>
        <w:spacing w:lineRule="auto" w:line="288"/>
        <w:jc w:val="both"/>
        <w:rPr/>
      </w:pPr>
      <w:r>
        <w:rPr>
          <w:rFonts w:cs="Arial" w:ascii="Arial" w:hAnsi="Arial"/>
          <w:sz w:val="22"/>
          <w:szCs w:val="22"/>
        </w:rPr>
        <w:t>za jednoho psa</w:t>
        <w:tab/>
        <w:t>..........................................................................................40- Kč,</w:t>
      </w:r>
    </w:p>
    <w:p>
      <w:pPr>
        <w:pStyle w:val="Normal"/>
        <w:numPr>
          <w:ilvl w:val="1"/>
          <w:numId w:val="6"/>
        </w:numPr>
        <w:spacing w:lineRule="auto" w:line="288"/>
        <w:jc w:val="both"/>
        <w:rPr/>
      </w:pPr>
      <w:r>
        <w:rPr>
          <w:rFonts w:cs="Arial" w:ascii="Arial" w:hAnsi="Arial"/>
          <w:sz w:val="22"/>
          <w:szCs w:val="22"/>
        </w:rPr>
        <w:t>za druhého a každého dalšího psa téhož držitele .........................................50- Kč,</w:t>
      </w:r>
    </w:p>
    <w:p>
      <w:pPr>
        <w:pStyle w:val="Normal"/>
        <w:numPr>
          <w:ilvl w:val="0"/>
          <w:numId w:val="0"/>
        </w:numPr>
        <w:spacing w:lineRule="auto" w:line="288"/>
        <w:ind w:left="1021" w:hanging="0"/>
        <w:rPr>
          <w:rFonts w:ascii="Arial" w:hAnsi="Arial" w:cs="Arial"/>
          <w:sz w:val="22"/>
          <w:szCs w:val="22"/>
        </w:rPr>
      </w:pPr>
      <w:r>
        <w:rPr>
          <w:rFonts w:cs="Arial" w:ascii="Arial" w:hAnsi="Arial"/>
          <w:sz w:val="22"/>
          <w:szCs w:val="22"/>
        </w:rPr>
      </w:r>
    </w:p>
    <w:p>
      <w:pPr>
        <w:pStyle w:val="Normal"/>
        <w:numPr>
          <w:ilvl w:val="0"/>
          <w:numId w:val="0"/>
        </w:numPr>
        <w:spacing w:lineRule="auto" w:line="288"/>
        <w:ind w:left="1021" w:hanging="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 xml:space="preserve">Čl. 5 </w:t>
      </w:r>
    </w:p>
    <w:p>
      <w:pPr>
        <w:pStyle w:val="Nzvylnk"/>
        <w:rPr/>
      </w:pPr>
      <w:r>
        <w:rPr>
          <w:rFonts w:cs="Arial" w:ascii="Arial" w:hAnsi="Arial"/>
        </w:rPr>
        <w:t xml:space="preserve">Splatnost poplatku </w:t>
      </w:r>
    </w:p>
    <w:p>
      <w:pPr>
        <w:pStyle w:val="Normal"/>
        <w:numPr>
          <w:ilvl w:val="0"/>
          <w:numId w:val="8"/>
        </w:numPr>
        <w:spacing w:lineRule="auto" w:line="288" w:before="120" w:after="0"/>
        <w:jc w:val="both"/>
        <w:rPr/>
      </w:pPr>
      <w:r>
        <w:rPr>
          <w:rFonts w:cs="Arial" w:ascii="Arial" w:hAnsi="Arial"/>
          <w:sz w:val="22"/>
          <w:szCs w:val="22"/>
        </w:rPr>
        <w:t>Poplatek je splatný nejpozději do 31.11. příslušného kalendářního roku.</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spacing w:lineRule="auto" w:line="288" w:before="120" w:after="0"/>
        <w:jc w:val="both"/>
        <w:rPr>
          <w:rFonts w:ascii="Arial" w:hAnsi="Arial" w:cs="Arial"/>
          <w:color w:val="1A4BD6"/>
          <w:sz w:val="22"/>
          <w:szCs w:val="22"/>
        </w:rPr>
      </w:pPr>
      <w:r>
        <w:rPr>
          <w:rFonts w:cs="Arial" w:ascii="Arial" w:hAnsi="Arial"/>
          <w:color w:val="1A4BD6"/>
          <w:sz w:val="22"/>
          <w:szCs w:val="22"/>
        </w:rPr>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10"/>
        </w:numPr>
        <w:spacing w:lineRule="auto" w:line="288"/>
        <w:jc w:val="both"/>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pPr>
        <w:pStyle w:val="Normal"/>
        <w:numPr>
          <w:ilvl w:val="0"/>
          <w:numId w:val="0"/>
        </w:numPr>
        <w:spacing w:lineRule="auto" w:line="288"/>
        <w:ind w:left="1021" w:hanging="0"/>
        <w:jc w:val="both"/>
        <w:rPr>
          <w:rFonts w:ascii="Arial" w:hAnsi="Arial" w:cs="Arial"/>
          <w:sz w:val="22"/>
          <w:szCs w:val="22"/>
        </w:rPr>
      </w:pPr>
      <w:r>
        <w:rPr>
          <w:rFonts w:cs="Arial" w:ascii="Arial" w:hAnsi="Arial"/>
          <w:sz w:val="22"/>
          <w:szCs w:val="22"/>
        </w:rPr>
      </w:r>
    </w:p>
    <w:p>
      <w:pPr>
        <w:pStyle w:val="Normal"/>
        <w:numPr>
          <w:ilvl w:val="0"/>
          <w:numId w:val="0"/>
        </w:numPr>
        <w:spacing w:lineRule="auto" w:line="288"/>
        <w:ind w:left="1021" w:hanging="0"/>
        <w:jc w:val="both"/>
        <w:rPr>
          <w:rFonts w:ascii="Arial" w:hAnsi="Arial" w:cs="Arial"/>
          <w:sz w:val="22"/>
          <w:szCs w:val="22"/>
        </w:rPr>
      </w:pPr>
      <w:r>
        <w:rPr>
          <w:rFonts w:cs="Arial" w:ascii="Arial" w:hAnsi="Arial"/>
          <w:sz w:val="22"/>
          <w:szCs w:val="22"/>
        </w:rPr>
      </w:r>
    </w:p>
    <w:p>
      <w:pPr>
        <w:pStyle w:val="Normal"/>
        <w:numPr>
          <w:ilvl w:val="0"/>
          <w:numId w:val="0"/>
        </w:numPr>
        <w:spacing w:lineRule="auto" w:line="288"/>
        <w:ind w:left="1021" w:hanging="0"/>
        <w:jc w:val="both"/>
        <w:rPr>
          <w:rFonts w:ascii="Arial" w:hAnsi="Arial" w:cs="Arial"/>
          <w:sz w:val="22"/>
          <w:szCs w:val="22"/>
        </w:rPr>
      </w:pPr>
      <w:r>
        <w:rPr>
          <w:rFonts w:cs="Arial" w:ascii="Arial" w:hAnsi="Arial"/>
          <w:sz w:val="22"/>
          <w:szCs w:val="22"/>
        </w:rPr>
      </w:r>
    </w:p>
    <w:p>
      <w:pPr>
        <w:pStyle w:val="Normal"/>
        <w:numPr>
          <w:ilvl w:val="0"/>
          <w:numId w:val="0"/>
        </w:numPr>
        <w:spacing w:lineRule="auto" w:line="288" w:before="120" w:after="0"/>
        <w:ind w:left="567" w:hanging="0"/>
        <w:jc w:val="both"/>
        <w:rPr>
          <w:rFonts w:ascii="Arial" w:hAnsi="Arial" w:cs="Arial"/>
          <w:i/>
          <w:i/>
          <w:color w:val="0070C0"/>
          <w:sz w:val="22"/>
          <w:szCs w:val="22"/>
        </w:rPr>
      </w:pPr>
      <w:r>
        <w:rPr>
          <w:rFonts w:cs="Arial" w:ascii="Arial" w:hAnsi="Arial"/>
          <w:i/>
          <w:color w:val="0070C0"/>
          <w:sz w:val="22"/>
          <w:szCs w:val="22"/>
        </w:rPr>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Navýšení poplatku</w:t>
      </w:r>
      <w:r>
        <w:rPr/>
        <w:t xml:space="preserve">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Nebudou-li poplatky zaplaceny poplatníkem včas nebo ve správné výši, vyměří mu správce poplatku poplatek platebním výměrem nebo hromadným předpisným seznamem.</w:t>
      </w:r>
      <w:r>
        <w:rPr>
          <w:rStyle w:val="Ukotvenpoznmkypodarou"/>
          <w:rFonts w:cs="Arial" w:ascii="Arial" w:hAnsi="Arial"/>
          <w:sz w:val="22"/>
          <w:szCs w:val="22"/>
        </w:rPr>
        <w:footnoteReference w:id="8"/>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Včas nezaplacené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9"/>
      </w:r>
    </w:p>
    <w:p>
      <w:pPr>
        <w:pStyle w:val="Slalnk"/>
        <w:spacing w:before="480" w:after="60"/>
        <w:rPr>
          <w:rFonts w:ascii="Arial" w:hAnsi="Arial" w:cs="Arial"/>
        </w:rPr>
      </w:pPr>
      <w:r>
        <w:rPr>
          <w:rFonts w:cs="Arial" w:ascii="Arial" w:hAnsi="Arial"/>
        </w:rPr>
        <w:t>Čl. 8</w:t>
      </w:r>
    </w:p>
    <w:p>
      <w:pPr>
        <w:pStyle w:val="Slalnk"/>
        <w:spacing w:before="60" w:after="160"/>
        <w:rPr>
          <w:rFonts w:ascii="Arial" w:hAnsi="Arial" w:cs="Arial"/>
        </w:rPr>
      </w:pPr>
      <w:r>
        <w:rPr>
          <w:rFonts w:cs="Arial" w:ascii="Arial" w:hAnsi="Arial"/>
        </w:rPr>
        <w:t>Odpovědnost za zaplacení poplatku</w:t>
      </w:r>
      <w:r>
        <w:rPr>
          <w:rStyle w:val="Ukotvenpoznmkypodarou"/>
          <w:rFonts w:cs="Arial" w:ascii="Arial" w:hAnsi="Arial"/>
          <w:sz w:val="22"/>
          <w:szCs w:val="22"/>
        </w:rPr>
        <w:footnoteReference w:id="10"/>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 xml:space="preserve">Vznikne-li nedoplatek na poplatku poplatníkovi, který je ke dni splatnosti nezletilý </w:t>
        <w:br/>
        <w:t xml:space="preserve">a nenabyl plné svéprávnosti nebo který je ke dni splatnosti omezen ve svéprávnosti </w:t>
        <w:br/>
        <w:t>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V případě podle odstavce 1 vyměří správce poplatku poplatek zákonnému zástupci nebo opatrovníkovi poplatníka.</w:t>
      </w:r>
    </w:p>
    <w:p>
      <w:pPr>
        <w:pStyle w:val="Normal"/>
        <w:numPr>
          <w:ilvl w:val="0"/>
          <w:numId w:val="5"/>
        </w:numPr>
        <w:spacing w:lineRule="auto" w:line="264" w:before="120" w:after="0"/>
        <w:jc w:val="both"/>
        <w:rPr/>
      </w:pPr>
      <w:r>
        <w:rPr>
          <w:rFonts w:cs="Arial" w:ascii="Arial" w:hAnsi="Arial"/>
          <w:sz w:val="22"/>
          <w:szCs w:val="22"/>
        </w:rPr>
        <w:t>Je-li zákonných zástupců nebo opatrovníků více, jsou povinni plnit poplatkovou povinnost společně a nerozdílně.</w:t>
      </w:r>
      <w:r>
        <w:rPr>
          <w:rFonts w:cs="Arial" w:ascii="Arial" w:hAnsi="Arial"/>
        </w:rPr>
        <w:t xml:space="preserve"> </w:t>
      </w:r>
    </w:p>
    <w:p>
      <w:pPr>
        <w:pStyle w:val="Slalnk"/>
        <w:spacing w:before="480" w:after="60"/>
        <w:rPr>
          <w:rFonts w:ascii="Arial" w:hAnsi="Arial" w:cs="Arial"/>
        </w:rPr>
      </w:pPr>
      <w:r>
        <w:rPr>
          <w:rFonts w:cs="Arial" w:ascii="Arial" w:hAnsi="Arial"/>
        </w:rPr>
        <w:t>Čl. 9</w:t>
      </w:r>
    </w:p>
    <w:p>
      <w:pPr>
        <w:pStyle w:val="Nzvylnk"/>
        <w:tabs>
          <w:tab w:val="clear" w:pos="708"/>
          <w:tab w:val="left" w:pos="3015" w:leader="none"/>
          <w:tab w:val="center" w:pos="4536" w:leader="none"/>
        </w:tabs>
        <w:jc w:val="left"/>
        <w:rPr/>
      </w:pPr>
      <w:r>
        <w:rPr>
          <w:rFonts w:cs="Arial" w:ascii="Arial" w:hAnsi="Arial"/>
        </w:rPr>
        <w:tab/>
        <w:t>Přechodné a zrušovací ustanovení</w:t>
      </w:r>
    </w:p>
    <w:p>
      <w:pPr>
        <w:pStyle w:val="Normal"/>
        <w:numPr>
          <w:ilvl w:val="0"/>
          <w:numId w:val="9"/>
        </w:numPr>
        <w:spacing w:lineRule="auto" w:line="264" w:before="120" w:after="0"/>
        <w:jc w:val="both"/>
        <w:rPr>
          <w:rFonts w:ascii="Arial" w:hAnsi="Arial" w:cs="Arial"/>
          <w:sz w:val="22"/>
          <w:szCs w:val="22"/>
        </w:rPr>
      </w:pPr>
      <w:r>
        <w:rPr>
          <w:rFonts w:cs="Arial" w:ascii="Arial" w:hAnsi="Arial"/>
          <w:sz w:val="22"/>
          <w:szCs w:val="22"/>
        </w:rPr>
        <w:t>Poplatkové povinnosti za předchozí kalendářní roky se řídí dosavadními právními předpisy.</w:t>
      </w:r>
    </w:p>
    <w:p>
      <w:pPr>
        <w:pStyle w:val="Normal"/>
        <w:numPr>
          <w:ilvl w:val="0"/>
          <w:numId w:val="9"/>
        </w:numPr>
        <w:spacing w:lineRule="auto" w:line="288" w:before="120" w:after="0"/>
        <w:jc w:val="both"/>
        <w:rPr/>
      </w:pPr>
      <w:r>
        <w:rPr>
          <w:rFonts w:cs="Arial" w:ascii="Arial" w:hAnsi="Arial"/>
          <w:sz w:val="22"/>
          <w:szCs w:val="22"/>
        </w:rPr>
        <w:t>Zrušuje se obecně závazná vyhláška č. 1</w:t>
      </w:r>
      <w:r>
        <w:rPr>
          <w:rFonts w:cs="Arial" w:ascii="Arial" w:hAnsi="Arial"/>
          <w:i/>
          <w:sz w:val="22"/>
          <w:szCs w:val="22"/>
        </w:rPr>
        <w:t>/2013</w:t>
      </w:r>
      <w:r>
        <w:rPr>
          <w:rFonts w:cs="Arial" w:ascii="Arial" w:hAnsi="Arial"/>
          <w:sz w:val="22"/>
          <w:szCs w:val="22"/>
        </w:rPr>
        <w:t xml:space="preserve"> o místním poplatku ze psů</w:t>
      </w:r>
    </w:p>
    <w:p>
      <w:pPr>
        <w:pStyle w:val="Normal"/>
        <w:numPr>
          <w:ilvl w:val="0"/>
          <w:numId w:val="0"/>
        </w:numPr>
        <w:spacing w:lineRule="auto" w:line="288" w:before="120" w:after="0"/>
        <w:ind w:left="567" w:hanging="0"/>
        <w:jc w:val="both"/>
        <w:rPr/>
      </w:pPr>
      <w:r>
        <w:rPr>
          <w:rFonts w:cs="Arial" w:ascii="Arial" w:hAnsi="Arial"/>
          <w:sz w:val="22"/>
          <w:szCs w:val="22"/>
        </w:rPr>
        <w:t>ze dne</w:t>
      </w:r>
      <w:r>
        <w:rPr>
          <w:rFonts w:cs="Arial" w:ascii="Arial" w:hAnsi="Arial"/>
          <w:i/>
          <w:sz w:val="22"/>
          <w:szCs w:val="22"/>
        </w:rPr>
        <w:t xml:space="preserve"> 6.3</w:t>
      </w:r>
      <w:r>
        <w:rPr>
          <w:rFonts w:cs="Arial" w:ascii="Arial" w:hAnsi="Arial"/>
          <w:sz w:val="22"/>
          <w:szCs w:val="22"/>
        </w:rPr>
        <w:t>.2013.</w:t>
      </w:r>
    </w:p>
    <w:p>
      <w:pPr>
        <w:pStyle w:val="Slalnk"/>
        <w:spacing w:before="480" w:after="60"/>
        <w:rPr>
          <w:rFonts w:ascii="Arial" w:hAnsi="Arial" w:cs="Arial"/>
        </w:rPr>
      </w:pPr>
      <w:r>
        <w:rPr>
          <w:rFonts w:cs="Arial" w:ascii="Arial" w:hAnsi="Arial"/>
        </w:rPr>
        <w:t>Čl. 10</w:t>
      </w:r>
    </w:p>
    <w:p>
      <w:pPr>
        <w:pStyle w:val="Nzvylnk"/>
        <w:rPr>
          <w:rFonts w:ascii="Arial" w:hAnsi="Arial" w:cs="Arial"/>
        </w:rPr>
      </w:pPr>
      <w:r>
        <w:rPr>
          <w:rFonts w:cs="Arial" w:ascii="Arial" w:hAnsi="Arial"/>
        </w:rPr>
        <w:t>Účinnost</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t>Tato vyhláška nabývá účinnosti patnáctým dnem po dni vyhlášení.</w:t>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pPr>
      <w:r>
        <w:rPr>
          <w:rFonts w:cs="Arial" w:ascii="Arial" w:hAnsi="Arial"/>
          <w:i/>
          <w:sz w:val="22"/>
          <w:szCs w:val="22"/>
        </w:rPr>
        <w:tab/>
        <w:tab/>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 xml:space="preserve">   Jiří Brož                                                                        Radek Omelančuk</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místostarosta</w:t>
        <w:tab/>
        <w:t>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rPr>
          <w:rFonts w:ascii="Arial" w:hAnsi="Arial" w:cs="Arial"/>
          <w:sz w:val="22"/>
          <w:szCs w:val="22"/>
        </w:rPr>
      </w:pPr>
      <w:r>
        <w:rPr>
          <w:rFonts w:cs="Arial" w:ascii="Arial" w:hAnsi="Arial"/>
          <w:sz w:val="22"/>
          <w:szCs w:val="22"/>
        </w:rPr>
        <w:t>Vyvěšeno na úřední desce dne:</w:t>
      </w:r>
      <w:r>
        <w:rPr>
          <w:rFonts w:cs="Arial" w:ascii="Arial" w:hAnsi="Arial"/>
          <w:sz w:val="22"/>
          <w:szCs w:val="22"/>
        </w:rPr>
        <w:t>24.11.2020</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Sejmuto z úřední desky dne:</w:t>
      </w:r>
      <w:r>
        <w:rPr>
          <w:rFonts w:cs="Arial" w:ascii="Arial" w:hAnsi="Arial"/>
          <w:sz w:val="22"/>
          <w:szCs w:val="22"/>
        </w:rPr>
        <w:t>10.12.2020</w:t>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1 zákona o místních poplatcích</w:t>
      </w:r>
    </w:p>
  </w:footnote>
  <w:footnote w:id="4">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5">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6">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7">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8">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1 zákona o místních poplatcích</w:t>
      </w:r>
    </w:p>
  </w:footnote>
  <w:footnote w:id="9">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0">
    <w:p>
      <w:pPr>
        <w:pStyle w:val="Poznmkapodarou"/>
        <w:rPr/>
      </w:pPr>
      <w:r>
        <w:rPr>
          <w:rStyle w:val="Znakypropoznmkupodarou"/>
        </w:rPr>
        <w:footnoteRef/>
      </w:r>
      <w:r>
        <w:rPr/>
        <w:t xml:space="preserve"> </w:t>
      </w:r>
      <w:r>
        <w:rPr>
          <w:rFonts w:cs="Arial" w:ascii="Arial" w:hAnsi="Arial"/>
          <w:sz w:val="18"/>
          <w:szCs w:val="18"/>
        </w:rPr>
        <w:t>§ 12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sz w:val="22"/>
        <w:szCs w:val="22"/>
        <w:rFonts w:ascii="Arial" w:hAnsi="Arial"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rPr>
        <w:sz w:val="22"/>
        <w:szCs w:val="22"/>
        <w:rFonts w:ascii="Arial" w:hAnsi="Arial"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rPr>
        <w:rFonts w:cs="Arial"/>
      </w:rPr>
    </w:lvl>
    <w:lvl w:ilvl="2">
      <w:start w:val="1"/>
      <w:numFmt w:val="lowerRoman"/>
      <w:lvlText w:val="%3)"/>
      <w:lvlJc w:val="left"/>
      <w:pPr>
        <w:tabs>
          <w:tab w:val="num" w:pos="1440"/>
        </w:tabs>
        <w:ind w:left="1440" w:hanging="360"/>
      </w:pPr>
      <w:rPr>
        <w:rFonts w:cs="Arial"/>
      </w:rPr>
    </w:lvl>
    <w:lvl w:ilvl="3">
      <w:start w:val="1"/>
      <w:numFmt w:val="decimal"/>
      <w:lvlText w:val="(%4)"/>
      <w:lvlJc w:val="left"/>
      <w:pPr>
        <w:tabs>
          <w:tab w:val="num" w:pos="1800"/>
        </w:tabs>
        <w:ind w:left="1800" w:hanging="360"/>
      </w:pPr>
      <w:rPr>
        <w:rFonts w:cs="Arial"/>
      </w:rPr>
    </w:lvl>
    <w:lvl w:ilvl="4">
      <w:start w:val="1"/>
      <w:numFmt w:val="lowerLetter"/>
      <w:lvlText w:val="(%5)"/>
      <w:lvlJc w:val="left"/>
      <w:pPr>
        <w:tabs>
          <w:tab w:val="num" w:pos="2160"/>
        </w:tabs>
        <w:ind w:left="2160" w:hanging="360"/>
      </w:pPr>
      <w:rPr>
        <w:rFonts w:cs="Arial"/>
      </w:rPr>
    </w:lvl>
    <w:lvl w:ilvl="5">
      <w:start w:val="1"/>
      <w:numFmt w:val="lowerRoman"/>
      <w:lvlText w:val="(%6)"/>
      <w:lvlJc w:val="left"/>
      <w:pPr>
        <w:tabs>
          <w:tab w:val="num" w:pos="2520"/>
        </w:tabs>
        <w:ind w:left="2520" w:hanging="360"/>
      </w:pPr>
      <w:rPr>
        <w:rFonts w:cs="Arial"/>
      </w:rPr>
    </w:lvl>
    <w:lvl w:ilvl="6">
      <w:start w:val="1"/>
      <w:numFmt w:val="decimal"/>
      <w:lvlText w:val="%7."/>
      <w:lvlJc w:val="left"/>
      <w:pPr>
        <w:tabs>
          <w:tab w:val="num" w:pos="2880"/>
        </w:tabs>
        <w:ind w:left="2880" w:hanging="360"/>
      </w:pPr>
      <w:rPr>
        <w:rFonts w:cs="Arial"/>
      </w:rPr>
    </w:lvl>
    <w:lvl w:ilvl="7">
      <w:start w:val="1"/>
      <w:numFmt w:val="lowerLetter"/>
      <w:lvlText w:val="%8."/>
      <w:lvlJc w:val="left"/>
      <w:pPr>
        <w:tabs>
          <w:tab w:val="num" w:pos="3240"/>
        </w:tabs>
        <w:ind w:left="3240" w:hanging="360"/>
      </w:pPr>
      <w:rPr>
        <w:rFonts w:cs="Arial"/>
      </w:rPr>
    </w:lvl>
    <w:lvl w:ilvl="8">
      <w:start w:val="1"/>
      <w:numFmt w:val="lowerRoman"/>
      <w:lvlText w:val="%9."/>
      <w:lvlJc w:val="left"/>
      <w:pPr>
        <w:tabs>
          <w:tab w:val="num" w:pos="3600"/>
        </w:tabs>
        <w:ind w:left="3600" w:hanging="360"/>
      </w:pPr>
      <w:rPr>
        <w:rFonts w:cs="Arial"/>
      </w:rPr>
    </w:lvl>
  </w:abstractNum>
  <w:abstractNum w:abstractNumId="11">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Nadpis2">
    <w:name w:val="Heading 2"/>
    <w:basedOn w:val="Normal"/>
    <w:next w:val="Normal"/>
    <w:qFormat/>
    <w:pPr>
      <w:keepNext w:val="true"/>
      <w:numPr>
        <w:ilvl w:val="1"/>
        <w:numId w:val="1"/>
      </w:numPr>
      <w:jc w:val="both"/>
      <w:outlineLvl w:val="1"/>
    </w:pPr>
    <w:rPr>
      <w:u w:val="single"/>
    </w:rPr>
  </w:style>
  <w:style w:type="character" w:styleId="WW8Num1z0">
    <w:name w:val="WW8Num1z0"/>
    <w:qFormat/>
    <w:rPr>
      <w:rFonts w:cs="Arial"/>
      <w:b w:val="false"/>
      <w:i w:val="false"/>
      <w:strike w:val="false"/>
      <w:dstrike w:val="false"/>
      <w:shadow w:val="false"/>
      <w:position w:val="0"/>
      <w:sz w:val="24"/>
      <w:sz w:val="24"/>
      <w:vertAlign w:val="baseline"/>
    </w:rPr>
  </w:style>
  <w:style w:type="character" w:styleId="WW8Num1z1">
    <w:name w:val="WW8Num1z1"/>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rFonts w:ascii="Arial" w:hAnsi="Arial" w:cs="Arial"/>
      <w:b w:val="false"/>
      <w:i w:val="false"/>
      <w:strike w:val="false"/>
      <w:dstrike w:val="false"/>
      <w:shadow w:val="false"/>
      <w:position w:val="0"/>
      <w:sz w:val="24"/>
      <w:sz w:val="24"/>
      <w:vertAlign w:val="baseline"/>
    </w:rPr>
  </w:style>
  <w:style w:type="character" w:styleId="WW8Num4z1">
    <w:name w:val="WW8Num4z1"/>
    <w:qFormat/>
    <w:rPr/>
  </w:style>
  <w:style w:type="character" w:styleId="WW8Num5z0">
    <w:name w:val="WW8Num5z0"/>
    <w:qFormat/>
    <w:rPr>
      <w:b w:val="false"/>
      <w:i w:val="false"/>
      <w:strike w:val="false"/>
      <w:dstrike w:val="false"/>
      <w:shadow w:val="false"/>
      <w:position w:val="0"/>
      <w:sz w:val="24"/>
      <w:sz w:val="24"/>
      <w:vertAlign w:val="baseline"/>
    </w:rPr>
  </w:style>
  <w:style w:type="character" w:styleId="WW8Num5z1">
    <w:name w:val="WW8Num5z1"/>
    <w:qFormat/>
    <w:rPr>
      <w:rFonts w:ascii="Arial" w:hAnsi="Arial" w:cs="Arial"/>
      <w:sz w:val="22"/>
      <w:szCs w:val="22"/>
    </w:rPr>
  </w:style>
  <w:style w:type="character" w:styleId="WW8Num6z0">
    <w:name w:val="WW8Num6z0"/>
    <w:qFormat/>
    <w:rPr>
      <w:b w:val="false"/>
      <w:i w:val="false"/>
      <w:strike w:val="false"/>
      <w:dstrike w:val="false"/>
      <w:shadow w:val="false"/>
      <w:position w:val="0"/>
      <w:sz w:val="24"/>
      <w:sz w:val="24"/>
      <w:vertAlign w:val="baseline"/>
    </w:rPr>
  </w:style>
  <w:style w:type="character" w:styleId="WW8Num6z1">
    <w:name w:val="WW8Num6z1"/>
    <w:qFormat/>
    <w:rPr/>
  </w:style>
  <w:style w:type="character" w:styleId="WW8Num7z0">
    <w:name w:val="WW8Num7z0"/>
    <w:qFormat/>
    <w:rPr>
      <w:b w:val="false"/>
      <w:i w:val="false"/>
      <w:strike w:val="false"/>
      <w:dstrike w:val="false"/>
      <w:outline w:val="false"/>
      <w:shadow w:val="false"/>
      <w:position w:val="0"/>
      <w:sz w:val="24"/>
      <w:sz w:val="24"/>
      <w:u w:val="none"/>
      <w:vertAlign w:val="baselin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b w:val="false"/>
      <w:i w:val="false"/>
      <w:strike w:val="false"/>
      <w:dstrike w:val="false"/>
      <w:shadow w:val="false"/>
      <w:position w:val="0"/>
      <w:sz w:val="22"/>
      <w:sz w:val="22"/>
      <w:szCs w:val="22"/>
      <w:vertAlign w:val="baseline"/>
    </w:rPr>
  </w:style>
  <w:style w:type="character" w:styleId="WW8Num8z1">
    <w:name w:val="WW8Num8z1"/>
    <w:qFormat/>
    <w:rPr>
      <w:rFonts w:ascii="Arial" w:hAnsi="Arial" w:cs="Arial"/>
      <w:sz w:val="22"/>
      <w:szCs w:val="22"/>
    </w:rPr>
  </w:style>
  <w:style w:type="character" w:styleId="WW8Num9z0">
    <w:name w:val="WW8Num9z0"/>
    <w:qFormat/>
    <w:rPr>
      <w:rFonts w:ascii="Arial" w:hAnsi="Arial" w:cs="Arial"/>
      <w:b w:val="false"/>
      <w:i w:val="false"/>
      <w:strike w:val="false"/>
      <w:dstrike w:val="false"/>
      <w:shadow w:val="false"/>
      <w:position w:val="0"/>
      <w:sz w:val="22"/>
      <w:sz w:val="22"/>
      <w:szCs w:val="22"/>
      <w:vertAlign w:val="baseline"/>
    </w:rPr>
  </w:style>
  <w:style w:type="character" w:styleId="WW8Num9z1">
    <w:name w:val="WW8Num9z1"/>
    <w:qFormat/>
    <w:rPr/>
  </w:style>
  <w:style w:type="character" w:styleId="WW8Num10z0">
    <w:name w:val="WW8Num10z0"/>
    <w:qFormat/>
    <w:rPr>
      <w:b w:val="false"/>
      <w:i w:val="false"/>
      <w:strike w:val="false"/>
      <w:dstrike w:val="false"/>
      <w:shadow w:val="false"/>
      <w:position w:val="0"/>
      <w:sz w:val="24"/>
      <w:sz w:val="24"/>
      <w:vertAlign w:val="baseline"/>
    </w:rPr>
  </w:style>
  <w:style w:type="character" w:styleId="WW8Num10z1">
    <w:name w:val="WW8Num10z1"/>
    <w:qFormat/>
    <w:rPr/>
  </w:style>
  <w:style w:type="character" w:styleId="WW8Num11z0">
    <w:name w:val="WW8Num11z0"/>
    <w:qFormat/>
    <w:rPr>
      <w:rFonts w:ascii="Arial" w:hAnsi="Arial" w:cs="Arial"/>
      <w:b w:val="false"/>
      <w:i w:val="false"/>
      <w:strike w:val="false"/>
      <w:dstrike w:val="false"/>
      <w:shadow w:val="false"/>
      <w:position w:val="0"/>
      <w:sz w:val="22"/>
      <w:sz w:val="22"/>
      <w:szCs w:val="22"/>
      <w:vertAlign w:val="baseline"/>
    </w:rPr>
  </w:style>
  <w:style w:type="character" w:styleId="WW8Num11z1">
    <w:name w:val="WW8Num11z1"/>
    <w:qFormat/>
    <w:rPr/>
  </w:style>
  <w:style w:type="character" w:styleId="WW8Num12z0">
    <w:name w:val="WW8Num12z0"/>
    <w:qFormat/>
    <w:rPr>
      <w:rFonts w:ascii="Arial" w:hAnsi="Arial" w:cs="Arial"/>
      <w:b w:val="false"/>
      <w:i w:val="false"/>
      <w:strike w:val="false"/>
      <w:dstrike w:val="false"/>
      <w:shadow w:val="false"/>
      <w:position w:val="0"/>
      <w:sz w:val="22"/>
      <w:sz w:val="22"/>
      <w:szCs w:val="22"/>
      <w:vertAlign w:val="baseline"/>
    </w:rPr>
  </w:style>
  <w:style w:type="character" w:styleId="WW8Num12z1">
    <w:name w:val="WW8Num12z1"/>
    <w:qFormat/>
    <w:rPr>
      <w:rFonts w:cs="Arial"/>
    </w:rPr>
  </w:style>
  <w:style w:type="character" w:styleId="WW8Num13z0">
    <w:name w:val="WW8Num13z0"/>
    <w:qFormat/>
    <w:rPr>
      <w:rFonts w:cs="Arial"/>
      <w:b w:val="false"/>
      <w:i w:val="false"/>
      <w:strike w:val="false"/>
      <w:dstrike w:val="false"/>
      <w:shadow w:val="false"/>
      <w:position w:val="0"/>
      <w:sz w:val="24"/>
      <w:sz w:val="24"/>
      <w:vertAlign w:val="baseline"/>
    </w:rPr>
  </w:style>
  <w:style w:type="character" w:styleId="WW8Num13z1">
    <w:name w:val="WW8Num13z1"/>
    <w:qFormat/>
    <w:rPr/>
  </w:style>
  <w:style w:type="character" w:styleId="WW8Num14z0">
    <w:name w:val="WW8Num14z0"/>
    <w:qFormat/>
    <w:rPr>
      <w:rFonts w:ascii="Arial" w:hAnsi="Arial" w:cs="Arial"/>
      <w:b w:val="false"/>
      <w:i w:val="false"/>
      <w:strike w:val="false"/>
      <w:dstrike w:val="false"/>
      <w:shadow w:val="false"/>
      <w:position w:val="0"/>
      <w:sz w:val="22"/>
      <w:sz w:val="22"/>
      <w:szCs w:val="22"/>
      <w:vertAlign w:val="baseline"/>
    </w:rPr>
  </w:style>
  <w:style w:type="character" w:styleId="WW8Num14z1">
    <w:name w:val="WW8Num14z1"/>
    <w:qFormat/>
    <w:rPr/>
  </w:style>
  <w:style w:type="character" w:styleId="WW8Num15z0">
    <w:name w:val="WW8Num15z0"/>
    <w:qFormat/>
    <w:rPr>
      <w:b w:val="false"/>
      <w:i w:val="false"/>
      <w:strike w:val="false"/>
      <w:dstrike w:val="false"/>
      <w:shadow w:val="false"/>
      <w:position w:val="0"/>
      <w:sz w:val="24"/>
      <w:sz w:val="24"/>
      <w:vertAlign w:val="baseline"/>
    </w:rPr>
  </w:style>
  <w:style w:type="character" w:styleId="WW8Num15z1">
    <w:name w:val="WW8Num15z1"/>
    <w:qFormat/>
    <w:rPr/>
  </w:style>
  <w:style w:type="character" w:styleId="Standardnpsmoodstavce">
    <w:name w:val="Standardní písmo odstavce"/>
    <w:qFormat/>
    <w:rPr/>
  </w:style>
  <w:style w:type="character" w:styleId="Nadpis2Char">
    <w:name w:val="Nadpis 2 Char"/>
    <w:qFormat/>
    <w:rPr>
      <w:sz w:val="24"/>
      <w:szCs w:val="24"/>
      <w:u w:val="single"/>
      <w:lang w:val="cs-CZ" w:bidi="ar-SA"/>
    </w:rPr>
  </w:style>
  <w:style w:type="character" w:styleId="ZhlavChar">
    <w:name w:val="Záhlaví Char"/>
    <w:qFormat/>
    <w:rPr>
      <w:sz w:val="24"/>
      <w:szCs w:val="24"/>
      <w:lang w:val="cs-CZ" w:bidi="ar-SA"/>
    </w:rPr>
  </w:style>
  <w:style w:type="character" w:styleId="ZkladntextChar">
    <w:name w:val="Základní text Char"/>
    <w:qFormat/>
    <w:rPr>
      <w:sz w:val="24"/>
      <w:szCs w:val="24"/>
      <w:lang w:val="cs-CZ" w:bidi="ar-SA"/>
    </w:rPr>
  </w:style>
  <w:style w:type="character" w:styleId="TextpoznpodarouChar">
    <w:name w:val="Text pozn. pod čarou Char"/>
    <w:qFormat/>
    <w:rPr>
      <w:lang w:val="cs-CZ" w:eastAsia="cs-CZ" w:bidi="ar-SA"/>
    </w:rPr>
  </w:style>
  <w:style w:type="character" w:styleId="Znakypropoznmkupodarou">
    <w:name w:val="Znaky pro poznámku pod čarou"/>
    <w:qFormat/>
    <w:rPr>
      <w:vertAlign w:val="superscript"/>
    </w:rPr>
  </w:style>
  <w:style w:type="character" w:styleId="TextbublinyChar">
    <w:name w:val="Text bubliny Char"/>
    <w:qFormat/>
    <w:rPr>
      <w:rFonts w:ascii="Segoe UI" w:hAnsi="Segoe UI" w:cs="Segoe UI"/>
      <w:sz w:val="18"/>
      <w:szCs w:val="18"/>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tabs>
        <w:tab w:val="clear" w:pos="708"/>
        <w:tab w:val="center" w:pos="4536" w:leader="none"/>
        <w:tab w:val="right" w:pos="9072" w:leader="none"/>
      </w:tabs>
    </w:pPr>
    <w:rPr/>
  </w:style>
  <w:style w:type="paragraph" w:styleId="Poznmkapodarou">
    <w:name w:val="Footnote Text"/>
    <w:basedOn w:val="Normal"/>
    <w:pPr/>
    <w:rPr>
      <w:sz w:val="20"/>
      <w:szCs w:val="20"/>
      <w:lang w:val="cs-CZ" w:eastAsia="cs-CZ"/>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Textpozmn">
    <w:name w:val="Text pozm.n."/>
    <w:basedOn w:val="Normal"/>
    <w:next w:val="Normal"/>
    <w:qFormat/>
    <w:pPr>
      <w:numPr>
        <w:ilvl w:val="0"/>
        <w:numId w:val="4"/>
      </w:numPr>
      <w:tabs>
        <w:tab w:val="clear" w:pos="708"/>
        <w:tab w:val="left" w:pos="851" w:leader="none"/>
      </w:tabs>
      <w:spacing w:before="0" w:after="120"/>
      <w:ind w:left="850" w:hanging="0"/>
      <w:jc w:val="both"/>
    </w:pPr>
    <w:rPr>
      <w:szCs w:val="20"/>
    </w:rPr>
  </w:style>
  <w:style w:type="paragraph" w:styleId="Textbubliny">
    <w:name w:val="Text bubliny"/>
    <w:basedOn w:val="Normal"/>
    <w:qFormat/>
    <w:pPr/>
    <w:rPr>
      <w:rFonts w:ascii="Segoe UI" w:hAnsi="Segoe UI" w:cs="Segoe UI"/>
      <w:sz w:val="18"/>
      <w:szCs w:val="18"/>
    </w:rPr>
  </w:style>
  <w:style w:type="paragraph" w:styleId="Textkomente">
    <w:name w:val="Text komentáře"/>
    <w:basedOn w:val="Normal"/>
    <w:qFormat/>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379</TotalTime>
  <Application>LibreOffice/7.0.1.2$Windows_X86_64 LibreOffice_project/7cbcfc562f6eb6708b5ff7d7397325de9e764452</Application>
  <Pages>4</Pages>
  <Words>797</Words>
  <Characters>4677</Characters>
  <CharactersWithSpaces>5486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2017-06-22T11:48:00Z</dcterms:created>
  <dc:creator>Žemlová Hana, JUDr.</dc:creator>
  <dc:description/>
  <cp:keywords>  </cp:keywords>
  <dc:language>cs-CZ</dc:language>
  <cp:lastModifiedBy/>
  <cp:lastPrinted>2021-12-13T12:59:43Z</cp:lastPrinted>
  <dcterms:modified xsi:type="dcterms:W3CDTF">2021-12-13T13:00:25Z</dcterms:modified>
  <cp:revision>78</cp:revision>
  <dc:subject/>
  <dc:title>Metodický materiál</dc:title>
</cp:coreProperties>
</file>