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D5752" w14:textId="2D87AD0B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E21351">
        <w:rPr>
          <w:rFonts w:ascii="Arial" w:hAnsi="Arial" w:cs="Arial"/>
          <w:b/>
        </w:rPr>
        <w:t>RYBÍ</w:t>
      </w:r>
    </w:p>
    <w:p w14:paraId="479B9DCF" w14:textId="75ECD057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21351">
        <w:rPr>
          <w:rFonts w:ascii="Arial" w:hAnsi="Arial" w:cs="Arial"/>
          <w:b/>
        </w:rPr>
        <w:t>Rybí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34C88B0A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E21351">
        <w:rPr>
          <w:rFonts w:ascii="Arial" w:hAnsi="Arial" w:cs="Arial"/>
          <w:b/>
        </w:rPr>
        <w:t>Rybí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1DE52887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914AC">
        <w:rPr>
          <w:rFonts w:ascii="Arial" w:hAnsi="Arial" w:cs="Arial"/>
          <w:b w:val="0"/>
          <w:sz w:val="22"/>
          <w:szCs w:val="22"/>
        </w:rPr>
        <w:t xml:space="preserve">Rybí </w:t>
      </w:r>
      <w:r w:rsidRPr="002E0EAD">
        <w:rPr>
          <w:rFonts w:ascii="Arial" w:hAnsi="Arial" w:cs="Arial"/>
          <w:b w:val="0"/>
          <w:sz w:val="22"/>
          <w:szCs w:val="22"/>
        </w:rPr>
        <w:t>se na svém</w:t>
      </w:r>
      <w:r w:rsidR="007914AC">
        <w:rPr>
          <w:rFonts w:ascii="Arial" w:hAnsi="Arial" w:cs="Arial"/>
          <w:b w:val="0"/>
          <w:sz w:val="22"/>
          <w:szCs w:val="22"/>
        </w:rPr>
        <w:t xml:space="preserve"> 6.</w:t>
      </w:r>
      <w:r w:rsidRPr="002E0EAD">
        <w:rPr>
          <w:rFonts w:ascii="Arial" w:hAnsi="Arial" w:cs="Arial"/>
          <w:b w:val="0"/>
          <w:sz w:val="22"/>
          <w:szCs w:val="22"/>
        </w:rPr>
        <w:t xml:space="preserve"> zasedání dne </w:t>
      </w:r>
      <w:r w:rsidR="007914AC">
        <w:rPr>
          <w:rFonts w:ascii="Arial" w:hAnsi="Arial" w:cs="Arial"/>
          <w:b w:val="0"/>
          <w:sz w:val="22"/>
          <w:szCs w:val="22"/>
        </w:rPr>
        <w:t xml:space="preserve">15. prosince 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1EA82DC5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914AC">
        <w:rPr>
          <w:rFonts w:ascii="Arial" w:hAnsi="Arial" w:cs="Arial"/>
          <w:sz w:val="22"/>
          <w:szCs w:val="22"/>
        </w:rPr>
        <w:t>Rybí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69636EAD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1AF228E0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7914AC">
        <w:rPr>
          <w:rFonts w:ascii="Arial" w:hAnsi="Arial" w:cs="Arial"/>
          <w:color w:val="000000"/>
          <w:sz w:val="22"/>
          <w:szCs w:val="22"/>
        </w:rPr>
        <w:t>Rybí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6BB587C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7914AC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08EC48E7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7914AC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="007914AC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43CF384" w14:textId="0AF81BA1" w:rsidR="00601AB9" w:rsidRPr="000C4BD9" w:rsidRDefault="006A4A80" w:rsidP="000C4BD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04778B" w:rsidRPr="00320FF8">
        <w:rPr>
          <w:rFonts w:ascii="Arial" w:hAnsi="Arial" w:cs="Arial"/>
          <w:sz w:val="22"/>
          <w:szCs w:val="22"/>
        </w:rPr>
        <w:t>0,</w:t>
      </w:r>
      <w:r w:rsidR="00A81F49">
        <w:rPr>
          <w:rFonts w:ascii="Arial" w:hAnsi="Arial" w:cs="Arial"/>
          <w:sz w:val="22"/>
          <w:szCs w:val="22"/>
        </w:rPr>
        <w:t>9</w:t>
      </w:r>
      <w:r w:rsidR="00320FF8" w:rsidRPr="00320FF8">
        <w:rPr>
          <w:rFonts w:ascii="Arial" w:hAnsi="Arial" w:cs="Arial"/>
          <w:sz w:val="22"/>
          <w:szCs w:val="22"/>
        </w:rPr>
        <w:t>0</w:t>
      </w:r>
      <w:r w:rsidR="00330165" w:rsidRPr="00320FF8">
        <w:rPr>
          <w:rFonts w:ascii="Arial" w:hAnsi="Arial" w:cs="Arial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02969D5" w14:textId="45730B38" w:rsidR="00601AB9" w:rsidRDefault="00601AB9" w:rsidP="00712CE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52EEBE33" w14:textId="4F08793B" w:rsidR="0004778B" w:rsidRPr="00601AB9" w:rsidRDefault="0004778B" w:rsidP="0004778B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   Dílčí poplatek za kalendářní měsíc se vypočte jako součin základu dílčího poplatku zaokrouhleného na celé litry nahoru a sazby pro tento základ.</w:t>
      </w:r>
      <w:r w:rsidRPr="0004778B">
        <w:rPr>
          <w:rStyle w:val="Znakapoznpodarou"/>
          <w:rFonts w:ascii="Arial" w:hAnsi="Arial" w:cs="Arial"/>
          <w:sz w:val="22"/>
          <w:szCs w:val="22"/>
        </w:rPr>
        <w:t xml:space="preserve"> 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7551ED16" w14:textId="77777777" w:rsidR="00712CE8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</w:t>
      </w:r>
      <w:r w:rsidR="00712CE8">
        <w:rPr>
          <w:rFonts w:ascii="Arial" w:hAnsi="Arial" w:cs="Arial"/>
          <w:sz w:val="22"/>
          <w:szCs w:val="22"/>
        </w:rPr>
        <w:t>:</w:t>
      </w:r>
    </w:p>
    <w:p w14:paraId="404BA306" w14:textId="5331AA6D" w:rsidR="00712CE8" w:rsidRDefault="00712CE8" w:rsidP="00712CE8">
      <w:pPr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dílčí období od 1. ledna do 30. června </w:t>
      </w:r>
      <w:r w:rsidR="00601AB9">
        <w:rPr>
          <w:rFonts w:ascii="Arial" w:hAnsi="Arial" w:cs="Arial"/>
          <w:sz w:val="22"/>
          <w:szCs w:val="22"/>
        </w:rPr>
        <w:t xml:space="preserve">nejpozději do </w:t>
      </w:r>
      <w:r w:rsidR="0004778B">
        <w:rPr>
          <w:rFonts w:ascii="Arial" w:hAnsi="Arial" w:cs="Arial"/>
          <w:sz w:val="22"/>
          <w:szCs w:val="22"/>
        </w:rPr>
        <w:t>31. srpna</w:t>
      </w:r>
      <w:r>
        <w:rPr>
          <w:rFonts w:ascii="Arial" w:hAnsi="Arial" w:cs="Arial"/>
          <w:sz w:val="22"/>
          <w:szCs w:val="22"/>
        </w:rPr>
        <w:t xml:space="preserve"> příslušného kalendářního roku,</w:t>
      </w:r>
    </w:p>
    <w:p w14:paraId="32A425AD" w14:textId="0F33C72E" w:rsidR="00601AB9" w:rsidRPr="00B30188" w:rsidRDefault="00712CE8" w:rsidP="00B30188">
      <w:pPr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30188">
        <w:rPr>
          <w:rFonts w:ascii="Arial" w:hAnsi="Arial" w:cs="Arial"/>
          <w:sz w:val="22"/>
          <w:szCs w:val="22"/>
        </w:rPr>
        <w:t>a dílčí období od 1. července do 3</w:t>
      </w:r>
      <w:r w:rsidR="0004778B">
        <w:rPr>
          <w:rFonts w:ascii="Arial" w:hAnsi="Arial" w:cs="Arial"/>
          <w:sz w:val="22"/>
          <w:szCs w:val="22"/>
        </w:rPr>
        <w:t>1. prosince nejpozději do 28. února</w:t>
      </w:r>
      <w:r w:rsidRPr="00B30188">
        <w:rPr>
          <w:rFonts w:ascii="Arial" w:hAnsi="Arial" w:cs="Arial"/>
          <w:sz w:val="22"/>
          <w:szCs w:val="22"/>
        </w:rPr>
        <w:t xml:space="preserve"> následujícího kalendářního roku.</w:t>
      </w:r>
      <w:r w:rsidR="00601AB9" w:rsidRPr="00B30188">
        <w:rPr>
          <w:rFonts w:ascii="Arial" w:hAnsi="Arial" w:cs="Arial"/>
          <w:sz w:val="22"/>
          <w:szCs w:val="22"/>
        </w:rPr>
        <w:t xml:space="preserve"> 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BD08F1" w14:textId="3566BB0B" w:rsidR="00F71057" w:rsidRDefault="00E02807" w:rsidP="00B3018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B30188">
        <w:rPr>
          <w:rFonts w:ascii="Arial" w:hAnsi="Arial" w:cs="Arial"/>
          <w:sz w:val="22"/>
          <w:szCs w:val="22"/>
        </w:rPr>
        <w:t xml:space="preserve">obce Rybí </w:t>
      </w:r>
      <w:r>
        <w:rPr>
          <w:rFonts w:ascii="Arial" w:hAnsi="Arial" w:cs="Arial"/>
          <w:sz w:val="22"/>
          <w:szCs w:val="22"/>
        </w:rPr>
        <w:t xml:space="preserve">č. </w:t>
      </w:r>
      <w:r w:rsidR="00B30188">
        <w:rPr>
          <w:rFonts w:ascii="Arial" w:hAnsi="Arial" w:cs="Arial"/>
          <w:sz w:val="22"/>
          <w:szCs w:val="22"/>
        </w:rPr>
        <w:t>1/2021</w:t>
      </w:r>
      <w:r w:rsidR="0004778B">
        <w:rPr>
          <w:rFonts w:ascii="Arial" w:hAnsi="Arial" w:cs="Arial"/>
          <w:sz w:val="22"/>
          <w:szCs w:val="22"/>
        </w:rPr>
        <w:t>,</w:t>
      </w:r>
      <w:r w:rsidR="00B30188">
        <w:rPr>
          <w:rFonts w:ascii="Arial" w:hAnsi="Arial" w:cs="Arial"/>
          <w:sz w:val="22"/>
          <w:szCs w:val="22"/>
        </w:rPr>
        <w:t xml:space="preserve"> o místním poplatku za odkládání komunálního odpadu z nemovité věci</w:t>
      </w:r>
      <w:r w:rsidR="0004778B">
        <w:rPr>
          <w:rFonts w:ascii="Arial" w:hAnsi="Arial" w:cs="Arial"/>
          <w:sz w:val="22"/>
          <w:szCs w:val="22"/>
        </w:rPr>
        <w:t>,</w:t>
      </w:r>
      <w:r w:rsidR="00B30188">
        <w:rPr>
          <w:rFonts w:ascii="Arial" w:hAnsi="Arial" w:cs="Arial"/>
          <w:sz w:val="22"/>
          <w:szCs w:val="22"/>
        </w:rPr>
        <w:t xml:space="preserve"> ze dne 8. 12. 2021.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2BB2B6E8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30188">
        <w:rPr>
          <w:rFonts w:ascii="Arial" w:hAnsi="Arial" w:cs="Arial"/>
          <w:sz w:val="22"/>
          <w:szCs w:val="22"/>
        </w:rPr>
        <w:t>1. 1. 2024.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4FC33C" w14:textId="77777777" w:rsidR="00B30188" w:rsidRDefault="00B30188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AD54B92" w14:textId="77777777" w:rsidR="00B30188" w:rsidRDefault="00B30188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14199E9D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1550D036" w:rsidR="000B128C" w:rsidRPr="000C2DC4" w:rsidRDefault="00B30188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Bc. Andrea Tománková</w:t>
      </w:r>
      <w:r w:rsidR="0004778B">
        <w:rPr>
          <w:rFonts w:ascii="Arial" w:hAnsi="Arial" w:cs="Arial"/>
          <w:sz w:val="22"/>
          <w:szCs w:val="22"/>
        </w:rPr>
        <w:t xml:space="preserve"> v. r.                                                     </w:t>
      </w:r>
      <w:r>
        <w:rPr>
          <w:rFonts w:ascii="Arial" w:hAnsi="Arial" w:cs="Arial"/>
          <w:sz w:val="22"/>
          <w:szCs w:val="22"/>
        </w:rPr>
        <w:t>Marie Janečková</w:t>
      </w:r>
      <w:r w:rsidR="0004778B">
        <w:rPr>
          <w:rFonts w:ascii="Arial" w:hAnsi="Arial" w:cs="Arial"/>
          <w:sz w:val="22"/>
          <w:szCs w:val="22"/>
        </w:rPr>
        <w:t xml:space="preserve"> v. r.</w:t>
      </w:r>
    </w:p>
    <w:p w14:paraId="3348FB18" w14:textId="572036D1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B30188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B30188">
        <w:rPr>
          <w:rFonts w:ascii="Arial" w:hAnsi="Arial" w:cs="Arial"/>
          <w:sz w:val="22"/>
          <w:szCs w:val="22"/>
        </w:rPr>
        <w:t>ka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CBC55" w14:textId="77777777" w:rsidR="00344E5B" w:rsidRDefault="00344E5B">
      <w:r>
        <w:separator/>
      </w:r>
    </w:p>
  </w:endnote>
  <w:endnote w:type="continuationSeparator" w:id="0">
    <w:p w14:paraId="735A2688" w14:textId="77777777" w:rsidR="00344E5B" w:rsidRDefault="0034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26060B2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4778B">
      <w:rPr>
        <w:noProof/>
      </w:rPr>
      <w:t>3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F2557" w14:textId="77777777" w:rsidR="00344E5B" w:rsidRDefault="00344E5B">
      <w:r>
        <w:separator/>
      </w:r>
    </w:p>
  </w:footnote>
  <w:footnote w:type="continuationSeparator" w:id="0">
    <w:p w14:paraId="228BB8CC" w14:textId="77777777" w:rsidR="00344E5B" w:rsidRDefault="00344E5B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4A202A6D" w14:textId="5FB1D6FF" w:rsidR="0004778B" w:rsidRPr="005C1A51" w:rsidRDefault="0004778B" w:rsidP="0004778B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10m odst. 2</w:t>
      </w:r>
      <w:r w:rsidRPr="005C1A51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607839">
    <w:abstractNumId w:val="15"/>
  </w:num>
  <w:num w:numId="2" w16cid:durableId="1876695735">
    <w:abstractNumId w:val="8"/>
  </w:num>
  <w:num w:numId="3" w16cid:durableId="394357137">
    <w:abstractNumId w:val="23"/>
  </w:num>
  <w:num w:numId="4" w16cid:durableId="1454599164">
    <w:abstractNumId w:val="9"/>
  </w:num>
  <w:num w:numId="5" w16cid:durableId="509292327">
    <w:abstractNumId w:val="6"/>
  </w:num>
  <w:num w:numId="6" w16cid:durableId="363871759">
    <w:abstractNumId w:val="28"/>
  </w:num>
  <w:num w:numId="7" w16cid:durableId="553589667">
    <w:abstractNumId w:val="12"/>
  </w:num>
  <w:num w:numId="8" w16cid:durableId="497842018">
    <w:abstractNumId w:val="13"/>
  </w:num>
  <w:num w:numId="9" w16cid:durableId="1965576130">
    <w:abstractNumId w:val="11"/>
  </w:num>
  <w:num w:numId="10" w16cid:durableId="1270088467">
    <w:abstractNumId w:val="1"/>
  </w:num>
  <w:num w:numId="11" w16cid:durableId="951404711">
    <w:abstractNumId w:val="10"/>
  </w:num>
  <w:num w:numId="12" w16cid:durableId="2080400208">
    <w:abstractNumId w:val="7"/>
  </w:num>
  <w:num w:numId="13" w16cid:durableId="2242839">
    <w:abstractNumId w:val="21"/>
  </w:num>
  <w:num w:numId="14" w16cid:durableId="559755411">
    <w:abstractNumId w:val="27"/>
  </w:num>
  <w:num w:numId="15" w16cid:durableId="4904154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13171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9901462">
    <w:abstractNumId w:val="25"/>
  </w:num>
  <w:num w:numId="18" w16cid:durableId="130290686">
    <w:abstractNumId w:val="5"/>
  </w:num>
  <w:num w:numId="19" w16cid:durableId="1630435893">
    <w:abstractNumId w:val="26"/>
  </w:num>
  <w:num w:numId="20" w16cid:durableId="17968058">
    <w:abstractNumId w:val="18"/>
  </w:num>
  <w:num w:numId="21" w16cid:durableId="462890271">
    <w:abstractNumId w:val="24"/>
  </w:num>
  <w:num w:numId="22" w16cid:durableId="839999742">
    <w:abstractNumId w:val="4"/>
  </w:num>
  <w:num w:numId="23" w16cid:durableId="1252935394">
    <w:abstractNumId w:val="29"/>
  </w:num>
  <w:num w:numId="24" w16cid:durableId="933391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12346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1396828">
    <w:abstractNumId w:val="22"/>
  </w:num>
  <w:num w:numId="27" w16cid:durableId="1219630466">
    <w:abstractNumId w:val="20"/>
  </w:num>
  <w:num w:numId="28" w16cid:durableId="97069007">
    <w:abstractNumId w:val="3"/>
  </w:num>
  <w:num w:numId="29" w16cid:durableId="1121533331">
    <w:abstractNumId w:val="19"/>
  </w:num>
  <w:num w:numId="30" w16cid:durableId="527763399">
    <w:abstractNumId w:val="2"/>
  </w:num>
  <w:num w:numId="31" w16cid:durableId="1317955107">
    <w:abstractNumId w:val="16"/>
  </w:num>
  <w:num w:numId="32" w16cid:durableId="1663004945">
    <w:abstractNumId w:val="14"/>
  </w:num>
  <w:num w:numId="33" w16cid:durableId="1682707330">
    <w:abstractNumId w:val="0"/>
  </w:num>
  <w:num w:numId="34" w16cid:durableId="11974992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4778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342F"/>
    <w:rsid w:val="000C42D4"/>
    <w:rsid w:val="000C4BD9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0FF8"/>
    <w:rsid w:val="00322107"/>
    <w:rsid w:val="00330165"/>
    <w:rsid w:val="003310BE"/>
    <w:rsid w:val="0033112D"/>
    <w:rsid w:val="003338CC"/>
    <w:rsid w:val="003349CE"/>
    <w:rsid w:val="003367F2"/>
    <w:rsid w:val="00342E31"/>
    <w:rsid w:val="00344E5B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2BCE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526E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2CE8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14AC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87F3A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81F49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0188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1351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1DE2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9E78A-8A8D-4369-B39B-4F5396E30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576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 Rybi</cp:lastModifiedBy>
  <cp:revision>5</cp:revision>
  <cp:lastPrinted>2023-11-07T11:01:00Z</cp:lastPrinted>
  <dcterms:created xsi:type="dcterms:W3CDTF">2023-11-07T11:02:00Z</dcterms:created>
  <dcterms:modified xsi:type="dcterms:W3CDTF">2023-12-18T08:55:00Z</dcterms:modified>
</cp:coreProperties>
</file>