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tLeast" w:line="280"/>
        <w:jc w:val="center"/>
        <w:rPr>
          <w:rFonts w:ascii="Arial" w:hAnsi="Arial"/>
          <w:b w:val="false"/>
          <w:bCs w:val="false"/>
        </w:rPr>
      </w:pPr>
      <w:r>
        <w:rPr/>
      </w:r>
    </w:p>
    <w:p>
      <w:pPr>
        <w:pStyle w:val="Header"/>
        <w:tabs>
          <w:tab w:val="clear" w:pos="4536"/>
          <w:tab w:val="clear" w:pos="9072"/>
        </w:tabs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er"/>
        <w:tabs>
          <w:tab w:val="clear" w:pos="4536"/>
          <w:tab w:val="clear" w:pos="9072"/>
        </w:tabs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rFonts w:cs="Arial" w:ascii="Arial" w:hAnsi="Arial"/>
          <w:b/>
          <w:bCs/>
        </w:rPr>
        <w:t>OBEC JEDLANY</w:t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rFonts w:cs="Arial" w:ascii="Arial" w:hAnsi="Arial"/>
          <w:b/>
          <w:bCs/>
        </w:rPr>
        <w:t>Zastupitelstvo obce Jedlany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rFonts w:cs="Arial" w:ascii="Arial" w:hAnsi="Arial"/>
          <w:b/>
          <w:bCs/>
        </w:rPr>
        <w:t>Obecně závazná vyhláška obce Jedlany č.2/2025</w:t>
      </w:r>
    </w:p>
    <w:p>
      <w:pPr>
        <w:pStyle w:val="Normal"/>
        <w:jc w:val="center"/>
        <w:rPr>
          <w:b/>
          <w:bCs/>
        </w:rPr>
      </w:pPr>
      <w:r>
        <w:rPr>
          <w:rFonts w:cs="Arial" w:ascii="Arial" w:hAnsi="Arial"/>
          <w:b/>
          <w:bCs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Zastupitelstvo obce Jedlany se na svém zasedání dne 2.července 2025(Usnesení č.40/25/Z6)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b/>
          <w:bCs/>
        </w:rPr>
      </w:pPr>
      <w:r>
        <w:rPr>
          <w:rFonts w:cs="Arial" w:ascii="Arial" w:hAnsi="Arial"/>
          <w:b/>
          <w:bCs/>
        </w:rPr>
        <w:t>Čl. 1</w:t>
      </w:r>
    </w:p>
    <w:p>
      <w:pPr>
        <w:pStyle w:val="Nzvylnk"/>
        <w:rPr>
          <w:b/>
          <w:bCs/>
        </w:rPr>
      </w:pPr>
      <w:r>
        <w:rPr>
          <w:rFonts w:cs="Arial" w:ascii="Arial" w:hAnsi="Arial"/>
          <w:b/>
          <w:bCs/>
        </w:rPr>
        <w:t>Úvodní ustanovení</w:t>
      </w:r>
    </w:p>
    <w:p>
      <w:pPr>
        <w:pStyle w:val="BodyTextIndent"/>
        <w:numPr>
          <w:ilvl w:val="0"/>
          <w:numId w:val="1"/>
        </w:numPr>
        <w:spacing w:lineRule="auto" w:line="264" w:before="0" w:after="60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Obec Jedlany touto vyhláškou zavádí místní poplatek za obecní systém odpadového hospodářství (dále jen „poplatek“).</w:t>
      </w:r>
    </w:p>
    <w:p>
      <w:pPr>
        <w:pStyle w:val="BodyTextIndent"/>
        <w:numPr>
          <w:ilvl w:val="0"/>
          <w:numId w:val="1"/>
        </w:numPr>
        <w:spacing w:lineRule="auto" w:line="264" w:before="0" w:after="60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Správcem poplatku je obecní úřad Jedlany.</w:t>
      </w:r>
    </w:p>
    <w:p>
      <w:pPr>
        <w:pStyle w:val="slalnk"/>
        <w:spacing w:before="480" w:after="60"/>
        <w:rPr>
          <w:b/>
          <w:bCs/>
        </w:rPr>
      </w:pPr>
      <w:r>
        <w:rPr>
          <w:rFonts w:cs="Arial" w:ascii="Arial" w:hAnsi="Arial"/>
          <w:b/>
          <w:bCs/>
        </w:rPr>
        <w:t>Čl. 2</w:t>
      </w:r>
    </w:p>
    <w:p>
      <w:pPr>
        <w:pStyle w:val="Nzvylnk"/>
        <w:rPr>
          <w:b/>
          <w:bCs/>
        </w:rPr>
      </w:pPr>
      <w:r>
        <w:rPr>
          <w:rFonts w:cs="Arial" w:ascii="Arial" w:hAnsi="Arial"/>
          <w:b/>
          <w:bCs/>
        </w:rPr>
        <w:t>Poplatník</w:t>
      </w:r>
    </w:p>
    <w:p>
      <w:pPr>
        <w:pStyle w:val="Normal"/>
        <w:numPr>
          <w:ilvl w:val="0"/>
          <w:numId w:val="5"/>
        </w:numPr>
        <w:spacing w:lineRule="auto" w:line="264" w:before="120" w:after="60"/>
        <w:ind w:hanging="567" w:left="567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Poplatníkem poplatku je:</w:t>
      </w:r>
      <w:r>
        <w:rPr>
          <w:rFonts w:ascii="Arial" w:hAnsi="Arial"/>
          <w:b w:val="false"/>
          <w:bCs w:val="false"/>
          <w:sz w:val="22"/>
          <w:szCs w:val="22"/>
        </w:rPr>
        <w:t xml:space="preserve"> fyzická osoba přihlášená v obci Jedlany nebo vlastník nemovité věci zahrnující byt,  rodinný dům nebo stavbu pro rodinnou rekreaci, ve které není přihlášená žádná fyzická osoba a která je umístěna na území obce Jedlany. </w:t>
      </w:r>
    </w:p>
    <w:p>
      <w:pPr>
        <w:pStyle w:val="Normal"/>
        <w:numPr>
          <w:ilvl w:val="0"/>
          <w:numId w:val="5"/>
        </w:numPr>
        <w:spacing w:lineRule="auto" w:line="264" w:before="120" w:after="60"/>
        <w:ind w:hanging="567" w:left="567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>
      <w:pPr>
        <w:pStyle w:val="slalnk"/>
        <w:spacing w:before="480" w:after="60"/>
        <w:rPr>
          <w:b/>
          <w:bCs/>
        </w:rPr>
      </w:pPr>
      <w:r>
        <w:rPr>
          <w:rFonts w:cs="Arial" w:ascii="Arial" w:hAnsi="Arial"/>
          <w:b/>
          <w:bCs/>
        </w:rPr>
        <w:t>Čl. 3</w:t>
      </w:r>
    </w:p>
    <w:p>
      <w:pPr>
        <w:pStyle w:val="Nzvylnk"/>
        <w:rPr>
          <w:b/>
          <w:bCs/>
        </w:rPr>
      </w:pPr>
      <w:r>
        <w:rPr>
          <w:rFonts w:cs="Arial" w:ascii="Arial" w:hAnsi="Arial"/>
          <w:b/>
          <w:bCs/>
        </w:rPr>
        <w:t>Ohlašovací povinnost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Dojde-li ke změně údajů uvedených v ohlášení, je poplatník povinen tuto změnu oznámit do 15 dnů ode dne, kdy nastala.</w:t>
      </w:r>
    </w:p>
    <w:p>
      <w:pPr>
        <w:pStyle w:val="slalnk"/>
        <w:spacing w:before="480" w:after="60"/>
        <w:rPr>
          <w:b/>
          <w:bCs/>
        </w:rPr>
      </w:pPr>
      <w:r>
        <w:rPr>
          <w:rFonts w:cs="Arial" w:ascii="Arial" w:hAnsi="Arial"/>
          <w:b/>
          <w:bCs/>
        </w:rPr>
        <w:t>Čl. 4</w:t>
      </w:r>
    </w:p>
    <w:p>
      <w:pPr>
        <w:pStyle w:val="Nzvylnk"/>
        <w:rPr>
          <w:b/>
          <w:bCs/>
        </w:rPr>
      </w:pPr>
      <w:r>
        <w:rPr>
          <w:rFonts w:cs="Arial" w:ascii="Arial" w:hAnsi="Arial"/>
          <w:b/>
          <w:bCs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Sazba poplatku činí </w:t>
      </w:r>
      <w:r>
        <w:rPr>
          <w:rFonts w:cs="Arial" w:ascii="Arial" w:hAnsi="Arial"/>
          <w:b/>
          <w:bCs/>
          <w:sz w:val="22"/>
          <w:szCs w:val="22"/>
        </w:rPr>
        <w:t>200 Kč.</w:t>
      </w:r>
    </w:p>
    <w:p>
      <w:pPr>
        <w:pStyle w:val="Normal"/>
        <w:spacing w:before="120" w:after="6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Poplatek se v případě, že poplatková povinnost vznikla z důvodu přihlášení fyzické osoby v obci Jedlany, snižuje o jednu dvanáctinu </w:t>
      </w:r>
      <w:bookmarkStart w:id="0" w:name="_Hlk141031074"/>
      <w:r>
        <w:rPr>
          <w:rFonts w:cs="Arial" w:ascii="Arial" w:hAnsi="Arial"/>
          <w:b w:val="false"/>
          <w:bCs w:val="false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b w:val="false"/>
          <w:bCs w:val="false"/>
          <w:sz w:val="22"/>
          <w:szCs w:val="22"/>
        </w:rPr>
        <w:t>, na jehož konci.</w:t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a) není tato fyzická osoba přihlášena v obci Jedlany, nebo</w:t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Jedlany, snižuje o jednu dvanáctinu za každý kalendářní měsíc, na jehož konci.</w:t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c) je poplatník od poplatku osvobozen</w:t>
      </w: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b/>
          <w:bCs/>
        </w:rPr>
      </w:pPr>
      <w:r>
        <w:rPr>
          <w:rFonts w:cs="Arial" w:ascii="Arial" w:hAnsi="Arial"/>
          <w:b/>
          <w:bCs/>
        </w:rPr>
        <w:t>Čl. 5</w:t>
      </w:r>
    </w:p>
    <w:p>
      <w:pPr>
        <w:pStyle w:val="Nzvylnk"/>
        <w:rPr>
          <w:b/>
          <w:bCs/>
        </w:rPr>
      </w:pPr>
      <w:r>
        <w:rPr>
          <w:rFonts w:cs="Arial" w:ascii="Arial" w:hAnsi="Arial"/>
          <w:b/>
          <w:bCs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Poplatek je splatný jednorázově, a to nejpozději do 31.12.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Normal"/>
        <w:spacing w:lineRule="auto" w:line="264" w:before="120" w:after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slalnk"/>
        <w:spacing w:before="480" w:after="60"/>
        <w:rPr>
          <w:b/>
          <w:bCs/>
        </w:rPr>
      </w:pPr>
      <w:r>
        <w:rPr>
          <w:rFonts w:cs="Arial" w:ascii="Arial" w:hAnsi="Arial"/>
          <w:b/>
          <w:bCs/>
        </w:rPr>
        <w:t>Čl. 6</w:t>
      </w:r>
    </w:p>
    <w:p>
      <w:pPr>
        <w:pStyle w:val="Nzvylnk"/>
        <w:rPr>
          <w:b/>
          <w:bCs/>
        </w:rPr>
      </w:pPr>
      <w:r>
        <w:rPr>
          <w:rFonts w:cs="Arial" w:ascii="Arial" w:hAnsi="Arial"/>
          <w:b/>
          <w:bCs/>
        </w:rPr>
        <w:t>Osvobození a úlevy</w:t>
      </w:r>
    </w:p>
    <w:p>
      <w:pPr>
        <w:pStyle w:val="Default"/>
        <w:numPr>
          <w:ilvl w:val="0"/>
          <w:numId w:val="0"/>
        </w:numPr>
        <w:spacing w:lineRule="auto" w:line="264"/>
        <w:ind w:hanging="0" w:left="567"/>
        <w:jc w:val="both"/>
        <w:rPr>
          <w:rFonts w:ascii="Arial" w:hAnsi="Arial"/>
          <w:b w:val="false"/>
          <w:bCs w:val="false"/>
        </w:rPr>
      </w:pPr>
      <w:r>
        <w:rPr>
          <w:b w:val="false"/>
          <w:bCs w:val="false"/>
          <w:sz w:val="22"/>
          <w:szCs w:val="22"/>
        </w:rPr>
        <w:t>Od poplatku je osvobozena osoba, které poplatková povinnost vznikla z důvodu přihlášení v obci Jedlany a která je:</w:t>
      </w:r>
    </w:p>
    <w:p>
      <w:pPr>
        <w:pStyle w:val="Default"/>
        <w:spacing w:lineRule="auto" w:line="264" w:before="120" w:after="60"/>
        <w:ind w:left="567"/>
        <w:jc w:val="both"/>
        <w:rPr>
          <w:rFonts w:ascii="Arial" w:hAnsi="Arial"/>
          <w:b w:val="false"/>
          <w:bCs w:val="false"/>
        </w:rPr>
      </w:pPr>
      <w:r>
        <w:rPr>
          <w:b w:val="false"/>
          <w:bCs w:val="false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/>
        <w:jc w:val="both"/>
        <w:rPr>
          <w:rFonts w:ascii="Arial" w:hAnsi="Arial"/>
          <w:b w:val="false"/>
          <w:bCs w:val="false"/>
        </w:rPr>
      </w:pPr>
      <w:r>
        <w:rPr>
          <w:b w:val="false"/>
          <w:bCs w:val="false"/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/>
        <w:jc w:val="both"/>
        <w:rPr>
          <w:rFonts w:ascii="Arial" w:hAnsi="Arial"/>
          <w:b w:val="false"/>
          <w:bCs w:val="false"/>
        </w:rPr>
      </w:pPr>
      <w:r>
        <w:rPr>
          <w:b w:val="false"/>
          <w:bCs w:val="false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/>
        <w:jc w:val="both"/>
        <w:rPr>
          <w:rFonts w:ascii="Arial" w:hAnsi="Arial"/>
          <w:b w:val="false"/>
          <w:bCs w:val="false"/>
        </w:rPr>
      </w:pPr>
      <w:r>
        <w:rPr>
          <w:b w:val="false"/>
          <w:bCs w:val="false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/>
        <w:jc w:val="both"/>
        <w:rPr>
          <w:rFonts w:ascii="Arial" w:hAnsi="Arial"/>
          <w:b w:val="false"/>
          <w:bCs w:val="false"/>
        </w:rPr>
      </w:pPr>
      <w:r>
        <w:rPr>
          <w:b w:val="false"/>
          <w:bCs w:val="false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hanging="0" w:left="567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numPr>
          <w:ilvl w:val="0"/>
          <w:numId w:val="0"/>
        </w:numPr>
        <w:spacing w:lineRule="auto" w:line="264" w:before="120" w:after="0"/>
        <w:ind w:hanging="0" w:left="567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slalnk"/>
        <w:spacing w:before="480" w:after="60"/>
        <w:rPr>
          <w:b/>
          <w:bCs/>
        </w:rPr>
      </w:pPr>
      <w:r>
        <w:rPr>
          <w:rFonts w:cs="Arial" w:ascii="Arial" w:hAnsi="Arial"/>
          <w:b/>
          <w:bCs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b/>
          <w:bCs/>
        </w:rPr>
      </w:pPr>
      <w:r>
        <w:rPr>
          <w:rFonts w:cs="Arial" w:ascii="Arial" w:hAnsi="Arial"/>
          <w:b/>
          <w:bCs/>
        </w:rPr>
        <w:t>Přechodné a zrušovací ustanovení</w:t>
      </w:r>
    </w:p>
    <w:p>
      <w:pPr>
        <w:pStyle w:val="Normal"/>
        <w:numPr>
          <w:ilvl w:val="0"/>
          <w:numId w:val="10"/>
        </w:numPr>
        <w:spacing w:lineRule="auto" w:line="288" w:before="120" w:after="0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11"/>
        </w:numPr>
        <w:spacing w:lineRule="auto" w:line="288" w:before="120" w:after="0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Zrušuje se obecně závazná vyhláška č. 2/2020</w:t>
      </w:r>
      <w:r>
        <w:rPr>
          <w:rFonts w:cs="Arial" w:ascii="Arial" w:hAnsi="Arial"/>
          <w:b w:val="false"/>
          <w:bCs w:val="false"/>
          <w:i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ze dne 4.prosince 2020.</w:t>
      </w:r>
    </w:p>
    <w:p>
      <w:pPr>
        <w:pStyle w:val="Normal"/>
        <w:spacing w:lineRule="auto" w:line="264" w:before="120" w:after="0"/>
        <w:ind w:left="567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slalnk"/>
        <w:spacing w:before="480" w:after="60"/>
        <w:rPr>
          <w:b/>
          <w:bCs/>
        </w:rPr>
      </w:pPr>
      <w:r>
        <w:rPr>
          <w:rFonts w:cs="Arial" w:ascii="Arial" w:hAnsi="Arial"/>
          <w:b/>
          <w:bCs/>
        </w:rPr>
        <w:t>Čl. 8</w:t>
      </w:r>
    </w:p>
    <w:p>
      <w:pPr>
        <w:pStyle w:val="Nzvylnk"/>
        <w:rPr>
          <w:b/>
          <w:bCs/>
        </w:rPr>
      </w:pPr>
      <w:r>
        <w:rPr>
          <w:rFonts w:cs="Arial" w:ascii="Arial" w:hAnsi="Arial"/>
          <w:b/>
          <w:bCs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Tato vyhláška nabývá účinnosti dnem 1.září.2025.</w:t>
      </w:r>
    </w:p>
    <w:p>
      <w:pPr>
        <w:pStyle w:val="Nzvylnk"/>
        <w:jc w:val="left"/>
        <w:rPr>
          <w:rFonts w:ascii="Arial" w:hAnsi="Arial" w:cs="Arial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b w:val="false"/>
          <w:bCs w:val="false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color w:themeColor="accent2" w:val="ED7D31"/>
          <w:sz w:val="20"/>
          <w:szCs w:val="20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i/>
          <w:sz w:val="22"/>
          <w:szCs w:val="22"/>
        </w:rPr>
        <w:t xml:space="preserve">            ………………………</w:t>
      </w:r>
      <w:r>
        <w:rPr>
          <w:rFonts w:cs="Arial" w:ascii="Arial" w:hAnsi="Arial"/>
          <w:b w:val="false"/>
          <w:bCs w:val="false"/>
          <w:i/>
          <w:sz w:val="22"/>
          <w:szCs w:val="22"/>
        </w:rPr>
        <w:t>..                                                               ……………………</w:t>
        <w:tab/>
        <w:t xml:space="preserve">     </w:t>
      </w:r>
    </w:p>
    <w:p>
      <w:pPr>
        <w:pStyle w:val="BodyText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ab/>
        <w:t xml:space="preserve">Milan Sviták </w:t>
        <w:tab/>
        <w:t xml:space="preserve">       Jiří Plecitý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ab/>
        <w:t xml:space="preserve">     starosta </w:t>
        <w:tab/>
        <w:t>místostarosta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1" w:lef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>
          <w:rFonts w:cs="Arial" w:ascii="Arial" w:hAnsi="Arial"/>
          <w:i/>
          <w:color w:val="ED7D31"/>
          <w:sz w:val="20"/>
          <w:szCs w:val="20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Znakypropoznmkupodarouuser">
    <w:name w:val="Znaky pro poznámku pod čarou (user)"/>
    <w:semiHidden/>
    <w:qFormat/>
    <w:rsid w:val="00131160"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Comment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131160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ZkladntextodsazenChar"/>
    <w:rsid w:val="00131160"/>
    <w:pPr>
      <w:ind w:firstLine="357" w:left="708"/>
      <w:jc w:val="both"/>
    </w:pPr>
    <w:rPr/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Title"/>
    <w:qFormat/>
    <w:rsid w:val="00131160"/>
    <w:pPr/>
    <w:rPr>
      <w:rFonts w:ascii="Cambria" w:hAnsi="Cambria" w:cs="Cambria"/>
    </w:rPr>
  </w:style>
  <w:style w:type="paragraph" w:styleId="Title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Footer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30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CommentText">
    <w:name w:val="annotation text"/>
    <w:basedOn w:val="Normal"/>
    <w:link w:val="TextkomenteChar"/>
    <w:rsid w:val="00c119a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LibreOffice/25.2.4.3$Windows_X86_64 LibreOffice_project/33e196637044ead23f5c3226cde09b47731f7e27</Application>
  <AppVersion>15.0000</AppVersion>
  <Pages>3</Pages>
  <Words>594</Words>
  <Characters>3362</Characters>
  <CharactersWithSpaces>3997</CharactersWithSpaces>
  <Paragraphs>51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2024-08-09T12:57:00Z</dcterms:created>
  <dc:creator>Mgr. Lukáš Toman</dc:creator>
  <dc:description/>
  <dc:language>cs-CZ</dc:language>
  <cp:lastModifiedBy/>
  <cp:lastPrinted>2025-08-13T14:53:44Z</cp:lastPrinted>
  <dcterms:modified xsi:type="dcterms:W3CDTF">2025-08-13T14:54:01Z</dcterms:modified>
  <cp:revision>4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