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897" w:rsidRPr="009A39A1" w:rsidRDefault="00EE2EA3">
      <w:pPr>
        <w:spacing w:after="15" w:line="271" w:lineRule="auto"/>
        <w:ind w:left="2264" w:right="2214"/>
        <w:jc w:val="center"/>
      </w:pPr>
      <w:r w:rsidRPr="009A39A1">
        <w:rPr>
          <w:b/>
          <w:sz w:val="28"/>
        </w:rPr>
        <w:t xml:space="preserve">MĚSTO BÍLINA ZASTUPITELSTVO MĚSTA BÍLINA </w:t>
      </w:r>
    </w:p>
    <w:p w:rsidR="00C63897" w:rsidRPr="009A39A1" w:rsidRDefault="00EE2EA3">
      <w:pPr>
        <w:spacing w:after="0" w:line="259" w:lineRule="auto"/>
        <w:ind w:left="77" w:firstLine="0"/>
        <w:jc w:val="center"/>
      </w:pPr>
      <w:r w:rsidRPr="009A39A1">
        <w:rPr>
          <w:b/>
          <w:sz w:val="32"/>
        </w:rPr>
        <w:t xml:space="preserve"> </w:t>
      </w:r>
    </w:p>
    <w:p w:rsidR="00C63897" w:rsidRPr="009A39A1" w:rsidRDefault="00EE2EA3">
      <w:pPr>
        <w:spacing w:after="15" w:line="271" w:lineRule="auto"/>
        <w:ind w:left="11"/>
        <w:jc w:val="center"/>
      </w:pPr>
      <w:r w:rsidRPr="009A39A1">
        <w:rPr>
          <w:b/>
          <w:sz w:val="28"/>
        </w:rPr>
        <w:t>Obecně závazná vyhláška</w:t>
      </w:r>
      <w:bookmarkStart w:id="0" w:name="_GoBack"/>
      <w:bookmarkEnd w:id="0"/>
      <w:r w:rsidRPr="009A39A1">
        <w:rPr>
          <w:b/>
          <w:sz w:val="28"/>
        </w:rPr>
        <w:t xml:space="preserve">, </w:t>
      </w:r>
    </w:p>
    <w:p w:rsidR="00C63897" w:rsidRPr="009A39A1" w:rsidRDefault="00EE2EA3">
      <w:pPr>
        <w:spacing w:after="15" w:line="271" w:lineRule="auto"/>
        <w:ind w:left="11" w:right="11"/>
        <w:jc w:val="center"/>
      </w:pPr>
      <w:r w:rsidRPr="009A39A1">
        <w:rPr>
          <w:b/>
          <w:sz w:val="28"/>
        </w:rPr>
        <w:t xml:space="preserve">kterou se stanoví obecní systém odpadového hospodářství </w:t>
      </w:r>
    </w:p>
    <w:p w:rsidR="00C63897" w:rsidRPr="009A39A1" w:rsidRDefault="00EE2EA3">
      <w:pPr>
        <w:spacing w:after="0" w:line="259" w:lineRule="auto"/>
        <w:ind w:left="67" w:firstLine="0"/>
        <w:jc w:val="center"/>
      </w:pPr>
      <w:r w:rsidRPr="009A39A1">
        <w:rPr>
          <w:b/>
          <w:sz w:val="28"/>
        </w:rPr>
        <w:t xml:space="preserve">  </w:t>
      </w:r>
    </w:p>
    <w:p w:rsidR="00C63897" w:rsidRPr="009A39A1" w:rsidRDefault="00EE2EA3">
      <w:pPr>
        <w:spacing w:after="273" w:line="268" w:lineRule="auto"/>
        <w:ind w:left="0" w:firstLine="0"/>
      </w:pPr>
      <w:r w:rsidRPr="009A39A1">
        <w:rPr>
          <w:i/>
        </w:rPr>
        <w:t>Zastupitelstvo města Bílina se na svém zasedání konané</w:t>
      </w:r>
      <w:r w:rsidR="009A39A1">
        <w:rPr>
          <w:i/>
        </w:rPr>
        <w:t>m dne 04. prosince 2024 usneslo usnesením č. 176</w:t>
      </w:r>
      <w:r w:rsidRPr="009A39A1">
        <w:rPr>
          <w:i/>
        </w:rPr>
        <w:t xml:space="preserve"> vydat na základě § 59 odst. 4 a 5 zákona č. 541/2020 Sb., o odpadech (dále jen „zákon o odpadech“), a podle § 10 písm. d) a § 84 odst. 2 písm. h) zákona č. 128/2000 Sb., o obcích (obecní zřízení), ve znění pozdějších předpisů, tuto obecně závaznou vyhlášku (dále jen „vyhláška“): </w:t>
      </w:r>
    </w:p>
    <w:p w:rsidR="00775C5B" w:rsidRDefault="00EE2EA3" w:rsidP="00775C5B">
      <w:pPr>
        <w:pStyle w:val="Nadpis1"/>
        <w:spacing w:after="0"/>
      </w:pPr>
      <w:r w:rsidRPr="009A39A1">
        <w:t xml:space="preserve">Článek 1 </w:t>
      </w:r>
    </w:p>
    <w:p w:rsidR="00C63897" w:rsidRPr="009A39A1" w:rsidRDefault="00EE2EA3">
      <w:pPr>
        <w:pStyle w:val="Nadpis1"/>
        <w:spacing w:after="295"/>
      </w:pPr>
      <w:r w:rsidRPr="009A39A1">
        <w:t xml:space="preserve">Předmět a působnost vyhlášky </w:t>
      </w:r>
    </w:p>
    <w:p w:rsidR="00C63897" w:rsidRPr="009A39A1" w:rsidRDefault="00EE2EA3">
      <w:pPr>
        <w:numPr>
          <w:ilvl w:val="0"/>
          <w:numId w:val="1"/>
        </w:numPr>
        <w:ind w:hanging="382"/>
      </w:pPr>
      <w:r w:rsidRPr="009A39A1">
        <w:t xml:space="preserve">Tato vyhláška stanoví obecní systém odpadového hospodářství na území města Bílina (dále jen „obecní systém odpadového hospodářství“). </w:t>
      </w:r>
    </w:p>
    <w:p w:rsidR="00C63897" w:rsidRPr="009A39A1" w:rsidRDefault="00EE2EA3">
      <w:pPr>
        <w:numPr>
          <w:ilvl w:val="0"/>
          <w:numId w:val="1"/>
        </w:numPr>
        <w:ind w:hanging="382"/>
      </w:pPr>
      <w:r w:rsidRPr="009A39A1">
        <w:t xml:space="preserve">Tato vyhláška rovněž stanoví místa, kde město Bílina (dále jen „město“) přebírá: </w:t>
      </w:r>
    </w:p>
    <w:p w:rsidR="00C63897" w:rsidRPr="009A39A1" w:rsidRDefault="00EE2EA3">
      <w:pPr>
        <w:numPr>
          <w:ilvl w:val="1"/>
          <w:numId w:val="1"/>
        </w:numPr>
        <w:ind w:hanging="360"/>
      </w:pPr>
      <w:r w:rsidRPr="009A39A1">
        <w:t xml:space="preserve">stavební a demoliční odpad vznikající na území města při činnosti nepodnikajících fyzických osob, </w:t>
      </w:r>
    </w:p>
    <w:p w:rsidR="00C63897" w:rsidRPr="009A39A1" w:rsidRDefault="00EE2EA3">
      <w:pPr>
        <w:numPr>
          <w:ilvl w:val="1"/>
          <w:numId w:val="1"/>
        </w:numPr>
        <w:spacing w:after="273"/>
        <w:ind w:hanging="360"/>
      </w:pPr>
      <w:r w:rsidRPr="009A39A1">
        <w:t xml:space="preserve">výrobky s ukončenou životností v rámci služby pro výrobce podle zákona o výrobcích s ukončenou životností. </w:t>
      </w:r>
    </w:p>
    <w:p w:rsidR="00C63897" w:rsidRPr="009A39A1" w:rsidRDefault="00EE2EA3">
      <w:pPr>
        <w:pStyle w:val="Nadpis1"/>
      </w:pPr>
      <w:r w:rsidRPr="009A39A1">
        <w:t xml:space="preserve">Článek 2 </w:t>
      </w:r>
    </w:p>
    <w:p w:rsidR="00775C5B" w:rsidRDefault="00EE2EA3">
      <w:pPr>
        <w:spacing w:line="375" w:lineRule="auto"/>
        <w:ind w:left="0" w:firstLine="3766"/>
        <w:rPr>
          <w:b/>
        </w:rPr>
      </w:pPr>
      <w:r w:rsidRPr="009A39A1">
        <w:rPr>
          <w:b/>
        </w:rPr>
        <w:t xml:space="preserve">Základní pojmy </w:t>
      </w:r>
    </w:p>
    <w:p w:rsidR="00C63897" w:rsidRPr="009A39A1" w:rsidRDefault="00EE2EA3" w:rsidP="000C2EC6">
      <w:pPr>
        <w:spacing w:line="240" w:lineRule="auto"/>
        <w:ind w:left="284" w:hanging="284"/>
      </w:pPr>
      <w:r w:rsidRPr="009A39A1">
        <w:t>1)</w:t>
      </w:r>
      <w:r w:rsidRPr="009A39A1">
        <w:rPr>
          <w:rFonts w:ascii="Arial" w:eastAsia="Arial" w:hAnsi="Arial" w:cs="Arial"/>
        </w:rPr>
        <w:t xml:space="preserve"> </w:t>
      </w:r>
      <w:r w:rsidRPr="009A39A1">
        <w:rPr>
          <w:b/>
        </w:rPr>
        <w:t xml:space="preserve">Nápojovými kartony </w:t>
      </w:r>
      <w:r w:rsidRPr="009A39A1">
        <w:t xml:space="preserve">se pro účely této vyhlášky rozumí kompozitní (vícesložkové) obaly (např. od mléka, vína, džusů a jiných poživatin). </w:t>
      </w:r>
    </w:p>
    <w:p w:rsidR="000C2EC6" w:rsidRDefault="00EE2EA3" w:rsidP="000C2EC6">
      <w:pPr>
        <w:numPr>
          <w:ilvl w:val="0"/>
          <w:numId w:val="2"/>
        </w:numPr>
        <w:spacing w:line="240" w:lineRule="auto"/>
        <w:ind w:left="284" w:hanging="284"/>
      </w:pPr>
      <w:r w:rsidRPr="009A39A1">
        <w:rPr>
          <w:b/>
        </w:rPr>
        <w:t xml:space="preserve">Drobnými kovy </w:t>
      </w:r>
      <w:r w:rsidRPr="009A39A1">
        <w:t xml:space="preserve">se pro účely této vyhlášky rozumí kovy, které svou velikostí, tvarem a vlastnostmi umožňují ukládání do sběrných nádob rozmístěných po městě (typicky plechovky od nápojů, potravin), aniž by došlo k poškození těchto nádob, </w:t>
      </w:r>
      <w:r w:rsidRPr="009A39A1">
        <w:rPr>
          <w:b/>
        </w:rPr>
        <w:t xml:space="preserve">kovy </w:t>
      </w:r>
      <w:r w:rsidRPr="009A39A1">
        <w:t xml:space="preserve">se rozumí všechny kovy, včetně drobných kovů. </w:t>
      </w:r>
    </w:p>
    <w:p w:rsidR="00C63897" w:rsidRPr="009A39A1" w:rsidRDefault="00EE2EA3" w:rsidP="000C2EC6">
      <w:pPr>
        <w:numPr>
          <w:ilvl w:val="0"/>
          <w:numId w:val="2"/>
        </w:numPr>
        <w:spacing w:line="240" w:lineRule="auto"/>
        <w:ind w:left="284" w:hanging="284"/>
      </w:pPr>
      <w:r w:rsidRPr="000C2EC6">
        <w:rPr>
          <w:b/>
        </w:rPr>
        <w:t xml:space="preserve">Biologický odpad </w:t>
      </w:r>
      <w:r w:rsidRPr="009A39A1">
        <w:t>je definován zákonem.</w:t>
      </w:r>
      <w:r w:rsidRPr="009A39A1">
        <w:rPr>
          <w:vertAlign w:val="superscript"/>
        </w:rPr>
        <w:footnoteReference w:id="1"/>
      </w:r>
      <w:r w:rsidRPr="009A39A1">
        <w:t xml:space="preserve"> </w:t>
      </w:r>
    </w:p>
    <w:p w:rsidR="00C63897" w:rsidRPr="009A39A1" w:rsidRDefault="00EE2EA3" w:rsidP="000C2EC6">
      <w:pPr>
        <w:numPr>
          <w:ilvl w:val="0"/>
          <w:numId w:val="2"/>
        </w:numPr>
        <w:spacing w:line="240" w:lineRule="auto"/>
        <w:ind w:left="284" w:hanging="284"/>
      </w:pPr>
      <w:r w:rsidRPr="009A39A1">
        <w:rPr>
          <w:b/>
        </w:rPr>
        <w:t xml:space="preserve">Nebezpečný odpad </w:t>
      </w:r>
      <w:r w:rsidRPr="009A39A1">
        <w:t>je definován zákonem.</w:t>
      </w:r>
      <w:r w:rsidRPr="009A39A1">
        <w:rPr>
          <w:vertAlign w:val="superscript"/>
        </w:rPr>
        <w:footnoteReference w:id="2"/>
      </w:r>
      <w:r w:rsidRPr="009A39A1">
        <w:t xml:space="preserve"> </w:t>
      </w:r>
    </w:p>
    <w:p w:rsidR="00C63897" w:rsidRPr="009A39A1" w:rsidRDefault="00EE2EA3" w:rsidP="000C2EC6">
      <w:pPr>
        <w:numPr>
          <w:ilvl w:val="0"/>
          <w:numId w:val="2"/>
        </w:numPr>
        <w:spacing w:line="240" w:lineRule="auto"/>
        <w:ind w:left="284" w:hanging="284"/>
      </w:pPr>
      <w:r w:rsidRPr="009A39A1">
        <w:rPr>
          <w:b/>
        </w:rPr>
        <w:t xml:space="preserve">Objemný odpad </w:t>
      </w:r>
      <w:r w:rsidRPr="009A39A1">
        <w:t xml:space="preserve">je složka komunálního odpadu, která pro velké rozměry nebo hmotnost nemůže být odkládána do sběrných nádob na směsný komunální odpad (např. starý nábytek, koberce, matrace apod.). </w:t>
      </w:r>
    </w:p>
    <w:p w:rsidR="00C63897" w:rsidRPr="009A39A1" w:rsidRDefault="00EE2EA3" w:rsidP="000C2EC6">
      <w:pPr>
        <w:numPr>
          <w:ilvl w:val="0"/>
          <w:numId w:val="2"/>
        </w:numPr>
        <w:spacing w:line="240" w:lineRule="auto"/>
        <w:ind w:left="284" w:hanging="284"/>
      </w:pPr>
      <w:r w:rsidRPr="009A39A1">
        <w:rPr>
          <w:b/>
        </w:rPr>
        <w:t xml:space="preserve">Směsný komunální odpad </w:t>
      </w:r>
      <w:r w:rsidRPr="009A39A1">
        <w:t xml:space="preserve">je složka komunálního odpadu, která zůstává po vytřídění složek komunálního odpadu uvedených v čl. 3 písm. a) až j) této vyhlášky. </w:t>
      </w:r>
    </w:p>
    <w:p w:rsidR="00C63897" w:rsidRPr="009A39A1" w:rsidRDefault="00EE2EA3" w:rsidP="000C2EC6">
      <w:pPr>
        <w:numPr>
          <w:ilvl w:val="0"/>
          <w:numId w:val="2"/>
        </w:numPr>
        <w:ind w:left="284" w:hanging="284"/>
      </w:pPr>
      <w:r w:rsidRPr="009A39A1">
        <w:rPr>
          <w:b/>
        </w:rPr>
        <w:t xml:space="preserve">Stanoviště zvláštních sběrných nádob </w:t>
      </w:r>
      <w:r w:rsidRPr="009A39A1">
        <w:t xml:space="preserve">jsou místa, kde jsou umístěny zvláštní sběrné nádoby na vybrané složky komunálního odpadu. Nádoby jsou označeny polepem popisujícím </w:t>
      </w:r>
      <w:r w:rsidRPr="009A39A1">
        <w:lastRenderedPageBreak/>
        <w:t xml:space="preserve">příslušnou složku komunálního odpadu, pro kterou jsou výlučně určeny. Aktuální seznam stanovišť zvláštních sběrných nádob je zveřejněn na webových stránkách města. </w:t>
      </w:r>
    </w:p>
    <w:p w:rsidR="00C63897" w:rsidRPr="009A39A1" w:rsidRDefault="00EE2EA3" w:rsidP="000C2EC6">
      <w:pPr>
        <w:numPr>
          <w:ilvl w:val="0"/>
          <w:numId w:val="2"/>
        </w:numPr>
        <w:ind w:left="284" w:hanging="284"/>
      </w:pPr>
      <w:r w:rsidRPr="009A39A1">
        <w:rPr>
          <w:b/>
        </w:rPr>
        <w:t xml:space="preserve">Sběrný dvůr </w:t>
      </w:r>
      <w:r w:rsidRPr="009A39A1">
        <w:t>je místo, které slouží k odkládání určených složek komunálního odpadu do shromažďovacích prostředků během provozní doby</w:t>
      </w:r>
      <w:r w:rsidRPr="009A39A1">
        <w:rPr>
          <w:vertAlign w:val="superscript"/>
        </w:rPr>
        <w:footnoteReference w:id="3"/>
      </w:r>
      <w:r w:rsidRPr="009A39A1">
        <w:t xml:space="preserve">. Město zde přebírá za dále konkretizovaných podmínek rovněž stavební a demoliční odpad a vybrané výrobky s ukončenou životností. Nachází se v areálu Technických služeb města Bílina, příspěvková organizace (zadní trakt). Přístup je z ulice </w:t>
      </w:r>
      <w:proofErr w:type="spellStart"/>
      <w:r w:rsidRPr="009A39A1">
        <w:t>Radovesická</w:t>
      </w:r>
      <w:proofErr w:type="spellEnd"/>
      <w:r w:rsidRPr="009A39A1">
        <w:t xml:space="preserve">. </w:t>
      </w:r>
    </w:p>
    <w:p w:rsidR="00C63897" w:rsidRPr="009A39A1" w:rsidRDefault="00EE2EA3" w:rsidP="000C2EC6">
      <w:pPr>
        <w:numPr>
          <w:ilvl w:val="0"/>
          <w:numId w:val="2"/>
        </w:numPr>
        <w:spacing w:after="302" w:line="259" w:lineRule="auto"/>
        <w:ind w:left="284" w:hanging="284"/>
      </w:pPr>
      <w:r w:rsidRPr="009A39A1">
        <w:rPr>
          <w:b/>
        </w:rPr>
        <w:t xml:space="preserve">Stavební a demoliční odpad </w:t>
      </w:r>
      <w:r w:rsidRPr="009A39A1">
        <w:t>je definován zákonem.</w:t>
      </w:r>
      <w:r w:rsidRPr="009A39A1">
        <w:rPr>
          <w:vertAlign w:val="superscript"/>
        </w:rPr>
        <w:footnoteReference w:id="4"/>
      </w:r>
      <w:r w:rsidRPr="009A39A1">
        <w:t xml:space="preserve"> </w:t>
      </w:r>
    </w:p>
    <w:p w:rsidR="00825FFE" w:rsidRDefault="00EE2EA3" w:rsidP="00825FFE">
      <w:pPr>
        <w:pStyle w:val="Nadpis1"/>
        <w:spacing w:after="0"/>
      </w:pPr>
      <w:r w:rsidRPr="009A39A1">
        <w:t xml:space="preserve">Článek 3 </w:t>
      </w:r>
    </w:p>
    <w:p w:rsidR="00C63897" w:rsidRPr="009A39A1" w:rsidRDefault="00EE2EA3">
      <w:pPr>
        <w:pStyle w:val="Nadpis1"/>
        <w:spacing w:after="292"/>
      </w:pPr>
      <w:r w:rsidRPr="009A39A1">
        <w:t xml:space="preserve">Třídění komunálního odpadu </w:t>
      </w:r>
    </w:p>
    <w:p w:rsidR="00775C5B" w:rsidRDefault="00EE2EA3">
      <w:pPr>
        <w:ind w:left="379" w:right="580" w:hanging="379"/>
      </w:pPr>
      <w:r w:rsidRPr="009A39A1">
        <w:t>Komunální odpad se v obecním systému odpadového hospodářství třídí na tyto složky:</w:t>
      </w:r>
    </w:p>
    <w:p w:rsidR="00C63897" w:rsidRPr="009A39A1" w:rsidRDefault="00775C5B">
      <w:pPr>
        <w:ind w:left="379" w:right="580" w:hanging="379"/>
      </w:pPr>
      <w:r>
        <w:t xml:space="preserve">     </w:t>
      </w:r>
      <w:r w:rsidR="00EE2EA3" w:rsidRPr="009A39A1">
        <w:t xml:space="preserve"> a)</w:t>
      </w:r>
      <w:r w:rsidR="00EE2EA3" w:rsidRPr="009A39A1">
        <w:rPr>
          <w:rFonts w:ascii="Arial" w:eastAsia="Arial" w:hAnsi="Arial" w:cs="Arial"/>
        </w:rPr>
        <w:t xml:space="preserve"> </w:t>
      </w:r>
      <w:r w:rsidR="00EE2EA3" w:rsidRPr="009A39A1">
        <w:t xml:space="preserve">papír; 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 xml:space="preserve">sklo; 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>plasty a nápojové kartony;</w:t>
      </w:r>
      <w:r w:rsidRPr="009A39A1">
        <w:rPr>
          <w:vertAlign w:val="superscript"/>
        </w:rPr>
        <w:footnoteReference w:id="5"/>
      </w:r>
      <w:r w:rsidRPr="009A39A1">
        <w:t xml:space="preserve"> 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 xml:space="preserve">drobné kovy; 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 xml:space="preserve">kovy; </w:t>
      </w:r>
    </w:p>
    <w:p w:rsidR="00C63897" w:rsidRPr="009A39A1" w:rsidRDefault="009A39A1">
      <w:pPr>
        <w:numPr>
          <w:ilvl w:val="0"/>
          <w:numId w:val="3"/>
        </w:numPr>
        <w:spacing w:after="20" w:line="259" w:lineRule="auto"/>
        <w:ind w:hanging="394"/>
      </w:pPr>
      <w:r>
        <w:t>textil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 xml:space="preserve">biologický odpad; 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 xml:space="preserve">jedlé oleje a tuky; 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 xml:space="preserve">objemný odpad; 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 xml:space="preserve">nebezpečný odpad; </w:t>
      </w:r>
    </w:p>
    <w:p w:rsidR="00C63897" w:rsidRPr="009A39A1" w:rsidRDefault="00EE2EA3">
      <w:pPr>
        <w:numPr>
          <w:ilvl w:val="0"/>
          <w:numId w:val="3"/>
        </w:numPr>
        <w:ind w:hanging="394"/>
      </w:pPr>
      <w:r w:rsidRPr="009A39A1">
        <w:t xml:space="preserve">směsný komunální odpad. </w:t>
      </w:r>
    </w:p>
    <w:p w:rsidR="00C63897" w:rsidRPr="009A39A1" w:rsidRDefault="00EE2EA3">
      <w:pPr>
        <w:spacing w:after="24" w:line="259" w:lineRule="auto"/>
        <w:ind w:left="57" w:firstLine="0"/>
        <w:jc w:val="center"/>
      </w:pPr>
      <w:r w:rsidRPr="009A39A1">
        <w:rPr>
          <w:b/>
        </w:rPr>
        <w:t xml:space="preserve"> </w:t>
      </w:r>
    </w:p>
    <w:p w:rsidR="00825FFE" w:rsidRDefault="00EE2EA3">
      <w:pPr>
        <w:pStyle w:val="Nadpis1"/>
        <w:spacing w:after="292"/>
      </w:pPr>
      <w:r w:rsidRPr="009A39A1">
        <w:t xml:space="preserve">Článek 4 </w:t>
      </w:r>
    </w:p>
    <w:p w:rsidR="00C63897" w:rsidRPr="009A39A1" w:rsidRDefault="00EE2EA3">
      <w:pPr>
        <w:pStyle w:val="Nadpis1"/>
        <w:spacing w:after="292"/>
      </w:pPr>
      <w:r w:rsidRPr="009A39A1">
        <w:t xml:space="preserve">Místa určená k soustřeďování složek komunálního odpadu </w:t>
      </w:r>
    </w:p>
    <w:p w:rsidR="00C63897" w:rsidRPr="009A39A1" w:rsidRDefault="00EE2EA3">
      <w:r w:rsidRPr="009A39A1">
        <w:t xml:space="preserve">Jednotlivé složky komunálního odpadu se soustřeďují: </w:t>
      </w:r>
    </w:p>
    <w:p w:rsidR="00C63897" w:rsidRPr="009A39A1" w:rsidRDefault="00EE2EA3">
      <w:pPr>
        <w:numPr>
          <w:ilvl w:val="0"/>
          <w:numId w:val="4"/>
        </w:numPr>
        <w:spacing w:after="25" w:line="259" w:lineRule="auto"/>
        <w:ind w:hanging="370"/>
        <w:jc w:val="left"/>
      </w:pPr>
      <w:r w:rsidRPr="009A39A1">
        <w:rPr>
          <w:b/>
        </w:rPr>
        <w:t>papír -</w:t>
      </w:r>
      <w:r w:rsidRPr="009A39A1">
        <w:t xml:space="preserve"> </w:t>
      </w:r>
    </w:p>
    <w:p w:rsidR="00C63897" w:rsidRPr="009A39A1" w:rsidRDefault="00EE2EA3">
      <w:pPr>
        <w:numPr>
          <w:ilvl w:val="1"/>
          <w:numId w:val="4"/>
        </w:numPr>
        <w:ind w:hanging="360"/>
      </w:pPr>
      <w:r w:rsidRPr="009A39A1">
        <w:t xml:space="preserve">do zvláštních sběrných nádob modré barvy umístěných na stanovištích zvláštních sběrných nádob (zpravidla výklopné kontejnery o objemu 1100 litrů), </w:t>
      </w:r>
    </w:p>
    <w:p w:rsidR="00C63897" w:rsidRPr="009A39A1" w:rsidRDefault="00EE2EA3">
      <w:pPr>
        <w:numPr>
          <w:ilvl w:val="1"/>
          <w:numId w:val="4"/>
        </w:numPr>
        <w:ind w:hanging="360"/>
      </w:pPr>
      <w:r w:rsidRPr="009A39A1">
        <w:t xml:space="preserve">ve sběrném dvoře; </w:t>
      </w:r>
    </w:p>
    <w:p w:rsidR="00C63897" w:rsidRPr="009A39A1" w:rsidRDefault="00EE2EA3">
      <w:pPr>
        <w:numPr>
          <w:ilvl w:val="0"/>
          <w:numId w:val="4"/>
        </w:numPr>
        <w:spacing w:after="0" w:line="280" w:lineRule="auto"/>
        <w:ind w:hanging="370"/>
        <w:jc w:val="left"/>
      </w:pPr>
      <w:r w:rsidRPr="009A39A1">
        <w:rPr>
          <w:b/>
        </w:rPr>
        <w:t xml:space="preserve">sklo </w:t>
      </w:r>
      <w:r w:rsidRPr="009A39A1">
        <w:t>- 1.</w:t>
      </w:r>
      <w:r w:rsidRPr="009A39A1">
        <w:rPr>
          <w:rFonts w:ascii="Arial" w:eastAsia="Arial" w:hAnsi="Arial" w:cs="Arial"/>
        </w:rPr>
        <w:t xml:space="preserve"> </w:t>
      </w:r>
      <w:r w:rsidRPr="009A39A1">
        <w:t xml:space="preserve">do zvláštních sběrných nádob zelené barvy umístěných na stanovištích zvláštních sběrných nádob (zpravidla výklopné kontejnery o objemu 1100 litrů), </w:t>
      </w:r>
    </w:p>
    <w:p w:rsidR="00C63897" w:rsidRPr="009A39A1" w:rsidRDefault="00EE2EA3">
      <w:pPr>
        <w:ind w:left="730"/>
      </w:pPr>
      <w:r w:rsidRPr="009A39A1">
        <w:t>2.</w:t>
      </w:r>
      <w:r w:rsidRPr="009A39A1">
        <w:rPr>
          <w:rFonts w:ascii="Arial" w:eastAsia="Arial" w:hAnsi="Arial" w:cs="Arial"/>
        </w:rPr>
        <w:t xml:space="preserve"> </w:t>
      </w:r>
      <w:r w:rsidRPr="009A39A1">
        <w:t xml:space="preserve">ve sběrném dvoře; </w:t>
      </w:r>
    </w:p>
    <w:p w:rsidR="00C63897" w:rsidRPr="009A39A1" w:rsidRDefault="00EE2EA3">
      <w:pPr>
        <w:numPr>
          <w:ilvl w:val="0"/>
          <w:numId w:val="4"/>
        </w:numPr>
        <w:spacing w:after="25" w:line="259" w:lineRule="auto"/>
        <w:ind w:hanging="370"/>
        <w:jc w:val="left"/>
      </w:pPr>
      <w:r w:rsidRPr="009A39A1">
        <w:rPr>
          <w:b/>
        </w:rPr>
        <w:t xml:space="preserve">plasty a nápojové kartony </w:t>
      </w:r>
      <w:r w:rsidRPr="009A39A1">
        <w:t>-</w:t>
      </w:r>
      <w:r w:rsidRPr="009A39A1">
        <w:rPr>
          <w:b/>
        </w:rPr>
        <w:t xml:space="preserve"> </w:t>
      </w:r>
    </w:p>
    <w:p w:rsidR="00C63897" w:rsidRPr="009A39A1" w:rsidRDefault="00EE2EA3">
      <w:pPr>
        <w:numPr>
          <w:ilvl w:val="1"/>
          <w:numId w:val="4"/>
        </w:numPr>
        <w:ind w:hanging="360"/>
      </w:pPr>
      <w:r w:rsidRPr="009A39A1">
        <w:t xml:space="preserve">do zvláštních sběrných nádob žluté barvy umístěných na stanovištích zvláštních sběrných nádob (zpravidla výklopné kontejnery o objemu 1100 litrů), </w:t>
      </w:r>
    </w:p>
    <w:p w:rsidR="00C63897" w:rsidRPr="009A39A1" w:rsidRDefault="00EE2EA3">
      <w:pPr>
        <w:numPr>
          <w:ilvl w:val="1"/>
          <w:numId w:val="4"/>
        </w:numPr>
        <w:ind w:hanging="360"/>
      </w:pPr>
      <w:r w:rsidRPr="009A39A1">
        <w:t xml:space="preserve">ve sběrném dvoře; </w:t>
      </w:r>
    </w:p>
    <w:p w:rsidR="00C63897" w:rsidRPr="009A39A1" w:rsidRDefault="00EE2EA3">
      <w:pPr>
        <w:numPr>
          <w:ilvl w:val="0"/>
          <w:numId w:val="4"/>
        </w:numPr>
        <w:ind w:hanging="370"/>
        <w:jc w:val="left"/>
      </w:pPr>
      <w:r w:rsidRPr="009A39A1">
        <w:rPr>
          <w:b/>
        </w:rPr>
        <w:lastRenderedPageBreak/>
        <w:t xml:space="preserve">drobné kovy - </w:t>
      </w:r>
      <w:r w:rsidRPr="009A39A1">
        <w:t xml:space="preserve">do zvláštních sběrných nádob šedé barvy umístěných na stanovištích zvláštních sběrných nádob; </w:t>
      </w:r>
    </w:p>
    <w:p w:rsidR="00C63897" w:rsidRPr="009A39A1" w:rsidRDefault="00EE2EA3">
      <w:pPr>
        <w:numPr>
          <w:ilvl w:val="0"/>
          <w:numId w:val="4"/>
        </w:numPr>
        <w:ind w:hanging="370"/>
        <w:jc w:val="left"/>
      </w:pPr>
      <w:r w:rsidRPr="009A39A1">
        <w:rPr>
          <w:b/>
        </w:rPr>
        <w:t xml:space="preserve">kovy - </w:t>
      </w:r>
      <w:r w:rsidRPr="009A39A1">
        <w:t xml:space="preserve">ve sběrném dvoře; </w:t>
      </w:r>
    </w:p>
    <w:tbl>
      <w:tblPr>
        <w:tblStyle w:val="TableGrid"/>
        <w:tblpPr w:vertAnchor="text" w:tblpX="708" w:tblpY="-9"/>
        <w:tblOverlap w:val="never"/>
        <w:tblW w:w="8394" w:type="dxa"/>
        <w:tblInd w:w="0" w:type="dxa"/>
        <w:tblCellMar>
          <w:top w:w="9" w:type="dxa"/>
          <w:right w:w="1" w:type="dxa"/>
        </w:tblCellMar>
        <w:tblLook w:val="04A0" w:firstRow="1" w:lastRow="0" w:firstColumn="1" w:lastColumn="0" w:noHBand="0" w:noVBand="1"/>
      </w:tblPr>
      <w:tblGrid>
        <w:gridCol w:w="2614"/>
        <w:gridCol w:w="5780"/>
      </w:tblGrid>
      <w:tr w:rsidR="00C63897" w:rsidRPr="009A39A1" w:rsidTr="00775C5B">
        <w:trPr>
          <w:trHeight w:val="276"/>
        </w:trPr>
        <w:tc>
          <w:tcPr>
            <w:tcW w:w="8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97" w:rsidRPr="009A39A1" w:rsidRDefault="00EE2EA3">
            <w:pPr>
              <w:spacing w:after="0" w:line="259" w:lineRule="auto"/>
              <w:ind w:left="0" w:firstLine="0"/>
            </w:pPr>
            <w:r w:rsidRPr="009A39A1">
              <w:rPr>
                <w:b/>
              </w:rPr>
              <w:t>textil –</w:t>
            </w:r>
            <w:r w:rsidRPr="009A39A1">
              <w:t xml:space="preserve"> do zvláštních sběrných nádob s nápisem „TEXTIL“ umístěných na stanovištích</w:t>
            </w:r>
          </w:p>
        </w:tc>
      </w:tr>
      <w:tr w:rsidR="00C63897" w:rsidRPr="009A39A1" w:rsidTr="00775C5B">
        <w:trPr>
          <w:trHeight w:val="276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897" w:rsidRPr="009A39A1" w:rsidRDefault="00EE2EA3">
            <w:pPr>
              <w:spacing w:after="0" w:line="259" w:lineRule="auto"/>
              <w:ind w:left="0" w:firstLine="0"/>
            </w:pPr>
            <w:r w:rsidRPr="009A39A1">
              <w:t>zvláštních sběrných nádob;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:rsidR="00C63897" w:rsidRPr="009A39A1" w:rsidRDefault="00EE2EA3">
            <w:pPr>
              <w:spacing w:after="0" w:line="259" w:lineRule="auto"/>
              <w:ind w:left="0" w:firstLine="0"/>
              <w:jc w:val="left"/>
            </w:pPr>
            <w:r w:rsidRPr="009A39A1">
              <w:t xml:space="preserve"> </w:t>
            </w:r>
          </w:p>
        </w:tc>
      </w:tr>
    </w:tbl>
    <w:p w:rsidR="00C63897" w:rsidRPr="009A39A1" w:rsidRDefault="00EE2EA3">
      <w:pPr>
        <w:numPr>
          <w:ilvl w:val="0"/>
          <w:numId w:val="4"/>
        </w:numPr>
        <w:spacing w:after="0" w:line="504" w:lineRule="auto"/>
        <w:ind w:hanging="370"/>
        <w:jc w:val="left"/>
      </w:pPr>
      <w:r w:rsidRPr="009A39A1">
        <w:t>g)</w:t>
      </w:r>
      <w:r w:rsidRPr="009A39A1">
        <w:rPr>
          <w:rFonts w:ascii="Arial" w:eastAsia="Arial" w:hAnsi="Arial" w:cs="Arial"/>
        </w:rPr>
        <w:t xml:space="preserve"> </w:t>
      </w:r>
      <w:r w:rsidRPr="009A39A1">
        <w:rPr>
          <w:b/>
        </w:rPr>
        <w:t xml:space="preserve">biologický odpad </w:t>
      </w:r>
      <w:r w:rsidRPr="009A39A1">
        <w:t xml:space="preserve">- </w:t>
      </w:r>
    </w:p>
    <w:p w:rsidR="00C63897" w:rsidRPr="009A39A1" w:rsidRDefault="00EE2EA3">
      <w:pPr>
        <w:numPr>
          <w:ilvl w:val="1"/>
          <w:numId w:val="4"/>
        </w:numPr>
        <w:ind w:hanging="360"/>
      </w:pPr>
      <w:r w:rsidRPr="009A39A1">
        <w:t xml:space="preserve">do zvláštních sběrných nádob hnědé barvy přidělených ke konkrétní nemovitosti, </w:t>
      </w:r>
    </w:p>
    <w:p w:rsidR="00C63897" w:rsidRPr="009A39A1" w:rsidRDefault="00EE2EA3">
      <w:pPr>
        <w:numPr>
          <w:ilvl w:val="1"/>
          <w:numId w:val="4"/>
        </w:numPr>
        <w:ind w:hanging="360"/>
      </w:pPr>
      <w:r w:rsidRPr="009A39A1">
        <w:t xml:space="preserve">do zvláštních sběrných nádob hnědé barvy umístěných na stanovištích zvláštních sběrných nádob, </w:t>
      </w:r>
    </w:p>
    <w:p w:rsidR="00C63897" w:rsidRPr="009A39A1" w:rsidRDefault="00EE2EA3">
      <w:pPr>
        <w:numPr>
          <w:ilvl w:val="1"/>
          <w:numId w:val="4"/>
        </w:numPr>
        <w:ind w:hanging="360"/>
      </w:pPr>
      <w:r w:rsidRPr="009A39A1">
        <w:t xml:space="preserve">ve sběrném dvoře; </w:t>
      </w:r>
    </w:p>
    <w:p w:rsidR="00C63897" w:rsidRPr="009A39A1" w:rsidRDefault="00EE2EA3">
      <w:pPr>
        <w:numPr>
          <w:ilvl w:val="0"/>
          <w:numId w:val="5"/>
        </w:numPr>
        <w:spacing w:after="25" w:line="259" w:lineRule="auto"/>
        <w:ind w:hanging="391"/>
        <w:jc w:val="left"/>
      </w:pPr>
      <w:r w:rsidRPr="009A39A1">
        <w:rPr>
          <w:b/>
        </w:rPr>
        <w:t xml:space="preserve">jedlé oleje a tuky </w:t>
      </w:r>
      <w:r w:rsidRPr="009A39A1">
        <w:t xml:space="preserve">- </w:t>
      </w:r>
    </w:p>
    <w:p w:rsidR="00C63897" w:rsidRPr="009A39A1" w:rsidRDefault="00EE2EA3">
      <w:pPr>
        <w:numPr>
          <w:ilvl w:val="1"/>
          <w:numId w:val="5"/>
        </w:numPr>
        <w:ind w:hanging="358"/>
      </w:pPr>
      <w:r w:rsidRPr="009A39A1">
        <w:t xml:space="preserve">v PET lahvích do zvláštních sběrných nádob černé barvy s kulatým vhozem umístěných na stanovištích zvláštních sběrných nádob, </w:t>
      </w:r>
    </w:p>
    <w:p w:rsidR="00C63897" w:rsidRPr="009A39A1" w:rsidRDefault="00EE2EA3">
      <w:pPr>
        <w:numPr>
          <w:ilvl w:val="1"/>
          <w:numId w:val="5"/>
        </w:numPr>
        <w:ind w:hanging="358"/>
      </w:pPr>
      <w:r w:rsidRPr="009A39A1">
        <w:t xml:space="preserve">ve sběrném dvoře; </w:t>
      </w:r>
    </w:p>
    <w:p w:rsidR="00C63897" w:rsidRPr="009A39A1" w:rsidRDefault="00EE2EA3">
      <w:pPr>
        <w:numPr>
          <w:ilvl w:val="0"/>
          <w:numId w:val="5"/>
        </w:numPr>
        <w:ind w:hanging="391"/>
        <w:jc w:val="left"/>
      </w:pPr>
      <w:r w:rsidRPr="009A39A1">
        <w:rPr>
          <w:b/>
        </w:rPr>
        <w:t xml:space="preserve">objemný odpad </w:t>
      </w:r>
      <w:r w:rsidRPr="009A39A1">
        <w:t xml:space="preserve">- do velkoobjemových kontejnerů umístěných ve sběrném dvoře; </w:t>
      </w:r>
    </w:p>
    <w:p w:rsidR="00C63897" w:rsidRPr="009A39A1" w:rsidRDefault="00EE2EA3">
      <w:pPr>
        <w:numPr>
          <w:ilvl w:val="0"/>
          <w:numId w:val="5"/>
        </w:numPr>
        <w:ind w:hanging="391"/>
        <w:jc w:val="left"/>
      </w:pPr>
      <w:r w:rsidRPr="009A39A1">
        <w:rPr>
          <w:b/>
        </w:rPr>
        <w:t xml:space="preserve">nebezpečný odpad </w:t>
      </w:r>
      <w:r w:rsidRPr="009A39A1">
        <w:t xml:space="preserve">- do zvláštních sběrných nádob umístěných ve sběrném dvoře; </w:t>
      </w:r>
    </w:p>
    <w:p w:rsidR="00C63897" w:rsidRPr="009A39A1" w:rsidRDefault="00EE2EA3">
      <w:pPr>
        <w:numPr>
          <w:ilvl w:val="0"/>
          <w:numId w:val="5"/>
        </w:numPr>
        <w:spacing w:after="25" w:line="259" w:lineRule="auto"/>
        <w:ind w:hanging="391"/>
        <w:jc w:val="left"/>
      </w:pPr>
      <w:r w:rsidRPr="009A39A1">
        <w:rPr>
          <w:b/>
        </w:rPr>
        <w:t xml:space="preserve">směsný komunální odpad </w:t>
      </w:r>
      <w:r w:rsidRPr="009A39A1">
        <w:t xml:space="preserve">- </w:t>
      </w:r>
    </w:p>
    <w:p w:rsidR="00C63897" w:rsidRPr="009A39A1" w:rsidRDefault="00EE2EA3">
      <w:pPr>
        <w:numPr>
          <w:ilvl w:val="1"/>
          <w:numId w:val="5"/>
        </w:numPr>
        <w:ind w:hanging="358"/>
      </w:pPr>
      <w:r w:rsidRPr="009A39A1">
        <w:t xml:space="preserve">do typizovaných sběrných nádob přidělených k objektům nebo společné pro více objektů (popelnice o objemu 110 litrů nebo kontejnery o objemu 1100 litrů); </w:t>
      </w:r>
    </w:p>
    <w:p w:rsidR="00C63897" w:rsidRPr="009A39A1" w:rsidRDefault="00EE2EA3">
      <w:pPr>
        <w:numPr>
          <w:ilvl w:val="1"/>
          <w:numId w:val="5"/>
        </w:numPr>
        <w:spacing w:after="224"/>
        <w:ind w:hanging="358"/>
      </w:pPr>
      <w:r w:rsidRPr="009A39A1">
        <w:t xml:space="preserve">drobný směsný komunální odpad vzniklý na veřejném prostranství do odpadkových košů rozmístěných na veřejném prostranství. </w:t>
      </w:r>
    </w:p>
    <w:p w:rsidR="00C63897" w:rsidRPr="009A39A1" w:rsidRDefault="00EE2EA3">
      <w:pPr>
        <w:spacing w:after="24" w:line="259" w:lineRule="auto"/>
        <w:ind w:left="57" w:firstLine="0"/>
        <w:jc w:val="center"/>
      </w:pPr>
      <w:r w:rsidRPr="009A39A1">
        <w:rPr>
          <w:b/>
        </w:rPr>
        <w:t xml:space="preserve"> </w:t>
      </w:r>
    </w:p>
    <w:p w:rsidR="00775C5B" w:rsidRDefault="00EE2EA3" w:rsidP="00775C5B">
      <w:pPr>
        <w:pStyle w:val="Nadpis1"/>
        <w:spacing w:after="0"/>
        <w:ind w:left="3601" w:right="3536"/>
      </w:pPr>
      <w:r w:rsidRPr="009A39A1">
        <w:t xml:space="preserve">Článek 5 </w:t>
      </w:r>
    </w:p>
    <w:p w:rsidR="00C63897" w:rsidRPr="009A39A1" w:rsidRDefault="00EE2EA3">
      <w:pPr>
        <w:pStyle w:val="Nadpis1"/>
        <w:spacing w:after="208"/>
        <w:ind w:left="3601" w:right="3536"/>
      </w:pPr>
      <w:r w:rsidRPr="009A39A1">
        <w:t xml:space="preserve">Povinnosti osob </w:t>
      </w:r>
    </w:p>
    <w:p w:rsidR="00C63897" w:rsidRPr="009A39A1" w:rsidRDefault="00EE2EA3">
      <w:r w:rsidRPr="009A39A1">
        <w:t xml:space="preserve">Osoby jsou povinny: </w:t>
      </w:r>
    </w:p>
    <w:p w:rsidR="00C63897" w:rsidRPr="009A39A1" w:rsidRDefault="00EE2EA3">
      <w:pPr>
        <w:numPr>
          <w:ilvl w:val="0"/>
          <w:numId w:val="6"/>
        </w:numPr>
        <w:ind w:hanging="382"/>
      </w:pPr>
      <w:r w:rsidRPr="009A39A1">
        <w:t xml:space="preserve">komunální odpad třídit na složky uvedené v článku 3 a odkládat na místa určená k soustřeďování jednotlivých složek komunálního odpadu dle článku 4 vyhlášky, </w:t>
      </w:r>
    </w:p>
    <w:p w:rsidR="00C63897" w:rsidRPr="009A39A1" w:rsidRDefault="00EE2EA3">
      <w:pPr>
        <w:numPr>
          <w:ilvl w:val="0"/>
          <w:numId w:val="6"/>
        </w:numPr>
        <w:ind w:hanging="382"/>
      </w:pPr>
      <w:r w:rsidRPr="009A39A1">
        <w:t xml:space="preserve">ukládat do sběrných nádob pouze ty složky, které odpovídají označení sběrné nádoby dle článku 4 vyhlášky, </w:t>
      </w:r>
    </w:p>
    <w:p w:rsidR="00C63897" w:rsidRPr="009A39A1" w:rsidRDefault="00EE2EA3">
      <w:pPr>
        <w:numPr>
          <w:ilvl w:val="0"/>
          <w:numId w:val="6"/>
        </w:numPr>
        <w:ind w:hanging="382"/>
      </w:pPr>
      <w:r w:rsidRPr="009A39A1">
        <w:t xml:space="preserve">mechanicky zmenšit objem (např. sešlápnutím, slisováním, zmáčknutím) dutého plastu (např. PET lahve) nebo dutého papíru (např. krabice) před odložením do sběrné nádoby, </w:t>
      </w:r>
    </w:p>
    <w:p w:rsidR="00C63897" w:rsidRPr="009A39A1" w:rsidRDefault="00EE2EA3">
      <w:pPr>
        <w:numPr>
          <w:ilvl w:val="0"/>
          <w:numId w:val="6"/>
        </w:numPr>
        <w:ind w:hanging="382"/>
      </w:pPr>
      <w:r w:rsidRPr="009A39A1">
        <w:t xml:space="preserve">nezhutňovat a neudupávat odpad ve sběrných nádobách, </w:t>
      </w:r>
    </w:p>
    <w:p w:rsidR="00C63897" w:rsidRPr="009A39A1" w:rsidRDefault="00EE2EA3">
      <w:pPr>
        <w:numPr>
          <w:ilvl w:val="0"/>
          <w:numId w:val="6"/>
        </w:numPr>
        <w:spacing w:after="273"/>
        <w:ind w:hanging="382"/>
      </w:pPr>
      <w:r w:rsidRPr="009A39A1">
        <w:t xml:space="preserve">plnit sběrné nádoby tak, aby je bylo možno uzavřít a odpad z nich při manipulaci nevypadával. </w:t>
      </w:r>
    </w:p>
    <w:p w:rsidR="00775C5B" w:rsidRDefault="00EE2EA3" w:rsidP="00775C5B">
      <w:pPr>
        <w:pStyle w:val="Nadpis1"/>
        <w:spacing w:after="0"/>
      </w:pPr>
      <w:r w:rsidRPr="009A39A1">
        <w:t xml:space="preserve">Článek 6 </w:t>
      </w:r>
    </w:p>
    <w:p w:rsidR="00C63897" w:rsidRPr="009A39A1" w:rsidRDefault="00EE2EA3">
      <w:pPr>
        <w:pStyle w:val="Nadpis1"/>
        <w:spacing w:after="246"/>
      </w:pPr>
      <w:r w:rsidRPr="009A39A1">
        <w:t xml:space="preserve">Místa pro přebírání stavebního a demoličního odpadu </w:t>
      </w:r>
    </w:p>
    <w:p w:rsidR="00C63897" w:rsidRPr="009A39A1" w:rsidRDefault="00EE2EA3">
      <w:pPr>
        <w:spacing w:after="222"/>
      </w:pPr>
      <w:r w:rsidRPr="009A39A1">
        <w:t xml:space="preserve">Město přebírá od nepodnikajících fyzických osob stavební a demoliční odpad vzniklý na území města, a to v množství nejvýše 500 kg na kalendářní rok a osobu. </w:t>
      </w:r>
    </w:p>
    <w:p w:rsidR="00C63897" w:rsidRPr="009A39A1" w:rsidRDefault="00EE2EA3">
      <w:pPr>
        <w:spacing w:after="24" w:line="259" w:lineRule="auto"/>
        <w:ind w:left="57" w:firstLine="0"/>
        <w:jc w:val="center"/>
      </w:pPr>
      <w:r w:rsidRPr="009A39A1">
        <w:rPr>
          <w:b/>
        </w:rPr>
        <w:t xml:space="preserve"> </w:t>
      </w:r>
    </w:p>
    <w:p w:rsidR="00775C5B" w:rsidRDefault="00EE2EA3" w:rsidP="00775C5B">
      <w:pPr>
        <w:pStyle w:val="Nadpis1"/>
        <w:spacing w:after="0"/>
      </w:pPr>
      <w:r w:rsidRPr="009A39A1">
        <w:lastRenderedPageBreak/>
        <w:t xml:space="preserve">Článek 7 </w:t>
      </w:r>
    </w:p>
    <w:p w:rsidR="00C63897" w:rsidRPr="009A39A1" w:rsidRDefault="00EE2EA3">
      <w:pPr>
        <w:pStyle w:val="Nadpis1"/>
        <w:spacing w:after="245"/>
      </w:pPr>
      <w:r w:rsidRPr="009A39A1">
        <w:t xml:space="preserve">Místa pro přebírání výrobků s ukončenou životností </w:t>
      </w:r>
    </w:p>
    <w:p w:rsidR="00C63897" w:rsidRPr="009A39A1" w:rsidRDefault="00EE2EA3">
      <w:pPr>
        <w:spacing w:after="257"/>
      </w:pPr>
      <w:r w:rsidRPr="009A39A1">
        <w:t>Město přebírá ve sběrném dvoře výrobky s ukončenou životností v rámci služby pro výrobce podle zákona o výrobcích s ukončenou životností, a to elektrozařízení a baterie a akumulátory.</w:t>
      </w:r>
      <w:r w:rsidRPr="009A39A1">
        <w:rPr>
          <w:vertAlign w:val="superscript"/>
        </w:rPr>
        <w:footnoteReference w:id="6"/>
      </w:r>
      <w:r w:rsidRPr="009A39A1">
        <w:t xml:space="preserve"> </w:t>
      </w:r>
    </w:p>
    <w:p w:rsidR="00C63897" w:rsidRPr="009A39A1" w:rsidRDefault="00EE2EA3">
      <w:pPr>
        <w:spacing w:after="24" w:line="259" w:lineRule="auto"/>
        <w:ind w:left="57" w:firstLine="0"/>
        <w:jc w:val="center"/>
      </w:pPr>
      <w:r w:rsidRPr="009A39A1">
        <w:rPr>
          <w:b/>
        </w:rPr>
        <w:t xml:space="preserve"> </w:t>
      </w:r>
    </w:p>
    <w:p w:rsidR="00775C5B" w:rsidRDefault="00EE2EA3" w:rsidP="00775C5B">
      <w:pPr>
        <w:pStyle w:val="Nadpis1"/>
        <w:spacing w:after="0"/>
      </w:pPr>
      <w:r w:rsidRPr="009A39A1">
        <w:t xml:space="preserve">Článek 8 </w:t>
      </w:r>
    </w:p>
    <w:p w:rsidR="00C63897" w:rsidRPr="009A39A1" w:rsidRDefault="00EE2EA3">
      <w:pPr>
        <w:pStyle w:val="Nadpis1"/>
        <w:spacing w:after="289"/>
      </w:pPr>
      <w:r w:rsidRPr="009A39A1">
        <w:t xml:space="preserve">Zrušovací ustanovení </w:t>
      </w:r>
    </w:p>
    <w:p w:rsidR="00C63897" w:rsidRPr="009A39A1" w:rsidRDefault="00EE2EA3">
      <w:r w:rsidRPr="009A39A1">
        <w:t xml:space="preserve">Zrušuje se obecně závazná </w:t>
      </w:r>
      <w:r w:rsidRPr="00775C5B">
        <w:t xml:space="preserve">vyhláška </w:t>
      </w:r>
      <w:r w:rsidRPr="00775C5B">
        <w:rPr>
          <w:shd w:val="clear" w:color="auto" w:fill="FFFFFF" w:themeFill="background1"/>
        </w:rPr>
        <w:t>č</w:t>
      </w:r>
      <w:r w:rsidRPr="00775C5B">
        <w:t>. 1/2021</w:t>
      </w:r>
      <w:r w:rsidRPr="009A39A1">
        <w:rPr>
          <w:b/>
        </w:rPr>
        <w:t xml:space="preserve">, </w:t>
      </w:r>
      <w:r w:rsidRPr="009A39A1">
        <w:t xml:space="preserve">kterou se stanoví obecní systém odpadového hospodářství, ze </w:t>
      </w:r>
      <w:r w:rsidRPr="00775C5B">
        <w:t>dne 23. 06. 2021</w:t>
      </w:r>
      <w:r w:rsidRPr="009A39A1">
        <w:t xml:space="preserve">.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C63897" w:rsidRPr="009A39A1" w:rsidRDefault="00EE2EA3">
      <w:pPr>
        <w:spacing w:after="24" w:line="259" w:lineRule="auto"/>
        <w:ind w:left="0" w:firstLine="0"/>
        <w:jc w:val="left"/>
      </w:pPr>
      <w:r w:rsidRPr="009A39A1">
        <w:t xml:space="preserve"> </w:t>
      </w:r>
    </w:p>
    <w:p w:rsidR="00775C5B" w:rsidRDefault="00EE2EA3">
      <w:pPr>
        <w:pStyle w:val="Nadpis1"/>
        <w:spacing w:after="10"/>
      </w:pPr>
      <w:r w:rsidRPr="009A39A1">
        <w:t xml:space="preserve">Článek 9 </w:t>
      </w:r>
    </w:p>
    <w:p w:rsidR="00C63897" w:rsidRPr="009A39A1" w:rsidRDefault="00EE2EA3">
      <w:pPr>
        <w:pStyle w:val="Nadpis1"/>
        <w:spacing w:after="10"/>
      </w:pPr>
      <w:r w:rsidRPr="009A39A1">
        <w:t xml:space="preserve">Účinnost </w:t>
      </w:r>
    </w:p>
    <w:p w:rsidR="00C63897" w:rsidRPr="009A39A1" w:rsidRDefault="00EE2EA3">
      <w:pPr>
        <w:spacing w:after="23" w:line="259" w:lineRule="auto"/>
        <w:ind w:left="57" w:firstLine="0"/>
        <w:jc w:val="center"/>
      </w:pPr>
      <w:r w:rsidRPr="009A39A1">
        <w:t xml:space="preserve"> </w:t>
      </w:r>
    </w:p>
    <w:p w:rsidR="00C63897" w:rsidRPr="009A39A1" w:rsidRDefault="00EE2EA3">
      <w:r w:rsidRPr="009A39A1">
        <w:t xml:space="preserve">Tato vyhláška nabývá účinnosti 01.01.2025.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C63897" w:rsidRPr="009A39A1" w:rsidRDefault="00EE2EA3">
      <w:pPr>
        <w:spacing w:after="0" w:line="258" w:lineRule="auto"/>
        <w:ind w:left="2658" w:right="2608" w:firstLine="0"/>
        <w:jc w:val="center"/>
      </w:pPr>
      <w:r w:rsidRPr="009A39A1">
        <w:rPr>
          <w:sz w:val="22"/>
        </w:rPr>
        <w:t xml:space="preserve">_________________________________ Mgr. Zuzana Schwarz Bařtipánová  starostka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C63897" w:rsidRPr="009A39A1" w:rsidRDefault="00EE2EA3">
      <w:pPr>
        <w:spacing w:after="0" w:line="259" w:lineRule="auto"/>
        <w:ind w:left="0" w:firstLine="0"/>
        <w:jc w:val="left"/>
      </w:pPr>
      <w:r w:rsidRPr="009A39A1">
        <w:t xml:space="preserve"> </w:t>
      </w:r>
    </w:p>
    <w:p w:rsidR="009A39A1" w:rsidRDefault="009A39A1">
      <w:pPr>
        <w:spacing w:after="0" w:line="276" w:lineRule="auto"/>
        <w:ind w:left="1214" w:right="119" w:hanging="734"/>
        <w:jc w:val="left"/>
        <w:rPr>
          <w:sz w:val="22"/>
        </w:rPr>
        <w:sectPr w:rsidR="009A39A1">
          <w:pgSz w:w="11899" w:h="16841"/>
          <w:pgMar w:top="717" w:right="1354" w:bottom="567" w:left="1364" w:header="708" w:footer="708" w:gutter="0"/>
          <w:cols w:space="708"/>
        </w:sectPr>
      </w:pPr>
    </w:p>
    <w:p w:rsidR="009A39A1" w:rsidRDefault="009A39A1" w:rsidP="009A39A1">
      <w:pPr>
        <w:spacing w:after="0" w:line="276" w:lineRule="auto"/>
        <w:ind w:left="1214" w:right="119" w:hanging="734"/>
        <w:jc w:val="center"/>
        <w:rPr>
          <w:sz w:val="22"/>
        </w:rPr>
      </w:pPr>
      <w:r>
        <w:rPr>
          <w:sz w:val="22"/>
        </w:rPr>
        <w:t xml:space="preserve"> ______________________________</w:t>
      </w:r>
    </w:p>
    <w:p w:rsidR="009A39A1" w:rsidRDefault="009A39A1" w:rsidP="009A39A1">
      <w:pPr>
        <w:spacing w:after="0" w:line="276" w:lineRule="auto"/>
        <w:ind w:left="1214" w:right="119" w:hanging="734"/>
        <w:jc w:val="center"/>
        <w:rPr>
          <w:sz w:val="22"/>
        </w:rPr>
      </w:pPr>
      <w:r w:rsidRPr="009A39A1">
        <w:rPr>
          <w:sz w:val="22"/>
        </w:rPr>
        <w:t xml:space="preserve">Ing. Marcela Dvořáková </w:t>
      </w:r>
    </w:p>
    <w:p w:rsidR="009A39A1" w:rsidRDefault="009A39A1" w:rsidP="009A39A1">
      <w:pPr>
        <w:spacing w:after="0" w:line="276" w:lineRule="auto"/>
        <w:ind w:left="1214" w:right="119" w:hanging="734"/>
        <w:jc w:val="center"/>
        <w:rPr>
          <w:sz w:val="22"/>
        </w:rPr>
      </w:pPr>
      <w:r w:rsidRPr="009A39A1">
        <w:rPr>
          <w:sz w:val="22"/>
        </w:rPr>
        <w:t>Místostarostka</w:t>
      </w:r>
    </w:p>
    <w:p w:rsidR="009A39A1" w:rsidRDefault="009A39A1" w:rsidP="009A39A1">
      <w:pPr>
        <w:spacing w:after="0" w:line="276" w:lineRule="auto"/>
        <w:ind w:left="1214" w:right="119" w:hanging="734"/>
        <w:jc w:val="center"/>
        <w:rPr>
          <w:sz w:val="22"/>
        </w:rPr>
      </w:pPr>
    </w:p>
    <w:p w:rsidR="009A39A1" w:rsidRDefault="009A39A1">
      <w:pPr>
        <w:spacing w:after="0" w:line="276" w:lineRule="auto"/>
        <w:ind w:left="1214" w:right="119" w:hanging="734"/>
        <w:jc w:val="left"/>
        <w:rPr>
          <w:sz w:val="22"/>
        </w:rPr>
      </w:pPr>
      <w:r w:rsidRPr="009A39A1">
        <w:rPr>
          <w:sz w:val="22"/>
        </w:rPr>
        <w:t>______________________________</w:t>
      </w:r>
    </w:p>
    <w:p w:rsidR="009A39A1" w:rsidRDefault="00EE2EA3" w:rsidP="009A39A1">
      <w:pPr>
        <w:spacing w:after="0" w:line="276" w:lineRule="auto"/>
        <w:ind w:left="1214" w:right="119" w:hanging="734"/>
        <w:jc w:val="center"/>
        <w:rPr>
          <w:sz w:val="22"/>
        </w:rPr>
      </w:pPr>
      <w:r w:rsidRPr="009A39A1">
        <w:rPr>
          <w:sz w:val="22"/>
        </w:rPr>
        <w:t>Ing. Karel Matuška</w:t>
      </w:r>
    </w:p>
    <w:p w:rsidR="00C63897" w:rsidRDefault="00EE2EA3" w:rsidP="009A39A1">
      <w:pPr>
        <w:spacing w:after="0" w:line="276" w:lineRule="auto"/>
        <w:ind w:left="1214" w:right="119" w:hanging="734"/>
        <w:jc w:val="center"/>
      </w:pPr>
      <w:r w:rsidRPr="009A39A1">
        <w:rPr>
          <w:sz w:val="22"/>
        </w:rPr>
        <w:t>místostarosta</w:t>
      </w:r>
    </w:p>
    <w:p w:rsidR="00C63897" w:rsidRDefault="00EE2EA3">
      <w:pPr>
        <w:spacing w:after="0" w:line="259" w:lineRule="auto"/>
        <w:ind w:left="0" w:firstLine="0"/>
        <w:jc w:val="left"/>
      </w:pPr>
      <w:r>
        <w:t xml:space="preserve"> </w:t>
      </w:r>
    </w:p>
    <w:p w:rsidR="009A39A1" w:rsidRDefault="009A39A1">
      <w:pPr>
        <w:spacing w:after="0" w:line="259" w:lineRule="auto"/>
        <w:ind w:left="0" w:firstLine="0"/>
        <w:jc w:val="left"/>
        <w:sectPr w:rsidR="009A39A1" w:rsidSect="009A39A1">
          <w:type w:val="continuous"/>
          <w:pgSz w:w="11899" w:h="16841"/>
          <w:pgMar w:top="717" w:right="1354" w:bottom="567" w:left="1364" w:header="708" w:footer="708" w:gutter="0"/>
          <w:cols w:num="2" w:space="708"/>
        </w:sectPr>
      </w:pPr>
    </w:p>
    <w:p w:rsidR="00C63897" w:rsidRDefault="00EE2EA3">
      <w:pPr>
        <w:spacing w:after="0" w:line="259" w:lineRule="auto"/>
        <w:ind w:left="0" w:firstLine="0"/>
        <w:jc w:val="left"/>
      </w:pPr>
      <w:r>
        <w:t xml:space="preserve"> </w:t>
      </w:r>
    </w:p>
    <w:sectPr w:rsidR="00C63897" w:rsidSect="009A39A1">
      <w:type w:val="continuous"/>
      <w:pgSz w:w="11899" w:h="16841"/>
      <w:pgMar w:top="717" w:right="1354" w:bottom="567" w:left="13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A92" w:rsidRDefault="00EE2EA3">
      <w:pPr>
        <w:spacing w:after="0" w:line="240" w:lineRule="auto"/>
      </w:pPr>
      <w:r>
        <w:separator/>
      </w:r>
    </w:p>
  </w:endnote>
  <w:endnote w:type="continuationSeparator" w:id="0">
    <w:p w:rsidR="00F25A92" w:rsidRDefault="00EE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897" w:rsidRDefault="00EE2EA3">
      <w:pPr>
        <w:spacing w:after="6" w:line="259" w:lineRule="auto"/>
        <w:ind w:left="259" w:right="9" w:hanging="259"/>
      </w:pPr>
      <w:r>
        <w:separator/>
      </w:r>
    </w:p>
  </w:footnote>
  <w:footnote w:type="continuationSeparator" w:id="0">
    <w:p w:rsidR="00C63897" w:rsidRDefault="00EE2EA3">
      <w:pPr>
        <w:spacing w:after="6" w:line="259" w:lineRule="auto"/>
        <w:ind w:left="259" w:right="9" w:hanging="259"/>
      </w:pPr>
      <w:r>
        <w:continuationSeparator/>
      </w:r>
    </w:p>
  </w:footnote>
  <w:footnote w:id="1">
    <w:p w:rsidR="00C63897" w:rsidRDefault="00EE2EA3">
      <w:pPr>
        <w:pStyle w:val="footnotedescription"/>
        <w:spacing w:after="6" w:line="259" w:lineRule="auto"/>
        <w:ind w:left="259" w:right="9" w:hanging="259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§ 11 odst. 2 písm. d) zákona o odpadech (</w:t>
      </w:r>
      <w:r>
        <w:t xml:space="preserve"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 </w:t>
      </w:r>
    </w:p>
  </w:footnote>
  <w:footnote w:id="2">
    <w:p w:rsidR="00C63897" w:rsidRDefault="00EE2EA3">
      <w:pPr>
        <w:pStyle w:val="footnotedescription"/>
        <w:spacing w:line="248" w:lineRule="auto"/>
        <w:ind w:left="259" w:right="6" w:hanging="259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§ 7 odst. 1 zákona o odpadech (</w:t>
      </w:r>
      <w: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i w:val="0"/>
        </w:rPr>
        <w:t>); nařízení komise (EU) č. 1357/2014 ze dne 18. prosince 2014, kterým se nahrazuje příloha III směrnice Evropského parlamentu a Rady 2008/98/ES o odpadech a o zrušení některých směrnic; jedná se např. o odpady výbušné, hořlavé, toxické, karcinogenní, dráždivé, žíravé</w:t>
      </w:r>
      <w:r>
        <w:t xml:space="preserve"> </w:t>
      </w:r>
    </w:p>
  </w:footnote>
  <w:footnote w:id="3">
    <w:p w:rsidR="00C63897" w:rsidRDefault="00EE2EA3">
      <w:pPr>
        <w:pStyle w:val="footnotedescription"/>
        <w:spacing w:line="304" w:lineRule="auto"/>
        <w:ind w:right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přístup je zajištěn šest dnů v týdnu; přesná provozní doba je zveřejněna ve sběrném dvoře a na webových stránkách města</w:t>
      </w:r>
      <w:r>
        <w:t xml:space="preserve"> </w:t>
      </w:r>
    </w:p>
  </w:footnote>
  <w:footnote w:id="4">
    <w:p w:rsidR="00C63897" w:rsidRDefault="00EE2EA3">
      <w:pPr>
        <w:pStyle w:val="footnotedescription"/>
        <w:spacing w:line="298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§ 11 odst. 2 písm. j) zákona o odpadech (</w:t>
      </w:r>
      <w:r>
        <w:t>Pro účely tohoto zákona se dále rozumí stavebním a demoličním odpadem odpad vznikající při stavebních a demoličních činnostech.</w:t>
      </w:r>
      <w:r>
        <w:rPr>
          <w:i w:val="0"/>
        </w:rPr>
        <w:t>)</w:t>
      </w:r>
      <w:r>
        <w:t xml:space="preserve"> </w:t>
      </w:r>
    </w:p>
  </w:footnote>
  <w:footnote w:id="5">
    <w:p w:rsidR="00C63897" w:rsidRDefault="00EE2EA3">
      <w:pPr>
        <w:pStyle w:val="footnotedescription"/>
        <w:spacing w:line="268" w:lineRule="auto"/>
        <w:ind w:left="180" w:right="3" w:hanging="180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město má zajištěno, že plní požadavek § 59 odst. 2 zákona o odpadech věta druhá (</w:t>
      </w:r>
      <w:r>
        <w:t>Obec není povinna odděleně soustřeďovat odpad plastů, skla a kovů, pokud tím nedojde s ohledem na další způsob nakládání s nimi k ohrožení možnosti provedení jejich recyklace.</w:t>
      </w:r>
      <w:r>
        <w:rPr>
          <w:i w:val="0"/>
        </w:rPr>
        <w:t>)</w:t>
      </w:r>
      <w:r>
        <w:t xml:space="preserve"> </w:t>
      </w:r>
    </w:p>
  </w:footnote>
  <w:footnote w:id="6">
    <w:p w:rsidR="00C63897" w:rsidRDefault="00EE2EA3">
      <w:pPr>
        <w:pStyle w:val="footnotedescription"/>
        <w:spacing w:line="245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§ 16 zákona č. 542/2020 Sb.: (</w:t>
      </w:r>
      <w: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 ukončenou životností; tím není dotčena možnost, aby obec s výrobcem, ve 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 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rPr>
          <w:i w:val="0"/>
        </w:rPr>
        <w:t>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11E1B"/>
    <w:multiLevelType w:val="hybridMultilevel"/>
    <w:tmpl w:val="613249DA"/>
    <w:lvl w:ilvl="0" w:tplc="BBBE07FA">
      <w:start w:val="2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D17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A54A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40D3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C979C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206D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A0ED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28830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C5A4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7208B9"/>
    <w:multiLevelType w:val="hybridMultilevel"/>
    <w:tmpl w:val="9C2E2806"/>
    <w:lvl w:ilvl="0" w:tplc="E7F8AD6C">
      <w:start w:val="8"/>
      <w:numFmt w:val="lowerLetter"/>
      <w:lvlText w:val="%1)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C0EC2">
      <w:start w:val="1"/>
      <w:numFmt w:val="decimal"/>
      <w:lvlText w:val="%2.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010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64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00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4E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8EB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E7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E5B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1B574E"/>
    <w:multiLevelType w:val="hybridMultilevel"/>
    <w:tmpl w:val="1A4065EE"/>
    <w:lvl w:ilvl="0" w:tplc="B21ECB98">
      <w:start w:val="2"/>
      <w:numFmt w:val="decimal"/>
      <w:lvlText w:val="%1)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84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ABF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B1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8A4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82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F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8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7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63F96"/>
    <w:multiLevelType w:val="hybridMultilevel"/>
    <w:tmpl w:val="4DE0F808"/>
    <w:lvl w:ilvl="0" w:tplc="F1841D22">
      <w:start w:val="1"/>
      <w:numFmt w:val="lowerLetter"/>
      <w:lvlText w:val="%1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885F2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71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C1A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81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47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0E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44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AE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F945B4"/>
    <w:multiLevelType w:val="hybridMultilevel"/>
    <w:tmpl w:val="AB7A1584"/>
    <w:lvl w:ilvl="0" w:tplc="D526973A">
      <w:start w:val="1"/>
      <w:numFmt w:val="lowerLetter"/>
      <w:lvlText w:val="%1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48C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80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C41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C10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5C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617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0B0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C5C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522E12"/>
    <w:multiLevelType w:val="hybridMultilevel"/>
    <w:tmpl w:val="5F2EBE32"/>
    <w:lvl w:ilvl="0" w:tplc="08C02E64">
      <w:start w:val="1"/>
      <w:numFmt w:val="decimal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274E4">
      <w:start w:val="1"/>
      <w:numFmt w:val="lowerLetter"/>
      <w:lvlText w:val="%2)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6102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211F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EBF5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477D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A4FA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AFD0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C83F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97"/>
    <w:rsid w:val="000C2EC6"/>
    <w:rsid w:val="00775C5B"/>
    <w:rsid w:val="00825FFE"/>
    <w:rsid w:val="0090110B"/>
    <w:rsid w:val="009A39A1"/>
    <w:rsid w:val="00AD1104"/>
    <w:rsid w:val="00B56C07"/>
    <w:rsid w:val="00C63897"/>
    <w:rsid w:val="00EE2EA3"/>
    <w:rsid w:val="00F2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6713"/>
  <w15:docId w15:val="{790094B1-5C7B-419B-90B0-643679D6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6" w:line="24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3" w:lineRule="auto"/>
      <w:ind w:left="221" w:right="2" w:hanging="221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1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Linhartová Kateřina</cp:lastModifiedBy>
  <cp:revision>5</cp:revision>
  <cp:lastPrinted>2024-12-12T06:46:00Z</cp:lastPrinted>
  <dcterms:created xsi:type="dcterms:W3CDTF">2024-12-11T10:01:00Z</dcterms:created>
  <dcterms:modified xsi:type="dcterms:W3CDTF">2024-12-12T07:44:00Z</dcterms:modified>
</cp:coreProperties>
</file>