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2"/>
        <w:widowControl w:val="0"/>
        <w:keepNext/>
        <w:keepLines/>
        <w:shd w:val="clear" w:color="auto" w:fill="auto"/>
        <w:bidi w:val="0"/>
        <w:spacing w:before="0" w:after="313"/>
        <w:ind w:left="0" w:right="2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color w:val="000000"/>
          <w:position w:val="0"/>
        </w:rPr>
        <w:t>OBEC MECHOLUPY</w:t>
      </w:r>
      <w:bookmarkEnd w:id="0"/>
    </w:p>
    <w:p>
      <w:pPr>
        <w:pStyle w:val="Style4"/>
        <w:widowControl w:val="0"/>
        <w:keepNext/>
        <w:keepLines/>
        <w:shd w:val="clear" w:color="auto" w:fill="auto"/>
        <w:bidi w:val="0"/>
        <w:spacing w:before="0" w:after="382"/>
        <w:ind w:left="0" w:right="2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ě. 3/2011,</w:t>
      </w:r>
      <w:bookmarkEnd w:id="1"/>
    </w:p>
    <w:p>
      <w:pPr>
        <w:pStyle w:val="Style6"/>
        <w:widowControl w:val="0"/>
        <w:keepNext/>
        <w:keepLines/>
        <w:shd w:val="clear" w:color="auto" w:fill="auto"/>
        <w:bidi w:val="0"/>
        <w:jc w:val="left"/>
        <w:spacing w:before="0" w:after="0"/>
        <w:ind w:left="420" w:right="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regulaci provozování sázkových her, loterií a jiných podobných her</w:t>
      </w:r>
      <w:bookmarkEnd w:id="2"/>
    </w:p>
    <w:p>
      <w:pPr>
        <w:pStyle w:val="Style8"/>
        <w:widowControl w:val="0"/>
        <w:keepNext w:val="0"/>
        <w:keepLines w:val="0"/>
        <w:shd w:val="clear" w:color="auto" w:fill="auto"/>
        <w:bidi w:val="0"/>
        <w:jc w:val="left"/>
        <w:spacing w:before="0" w:after="382"/>
        <w:ind w:left="1740" w:right="0" w:firstLine="0"/>
      </w:pPr>
      <w:r>
        <w:rPr>
          <w:rStyle w:val="CharStyle10"/>
        </w:rPr>
        <w:t>*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527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obce Měcholupy se na svém zasedání dne!4.12.2011 usneslo usnesením č. S-lll/2011 vydat na základě ustanovení § 50 odst. 4 zákona č. 202/1990 Sb., o loteriích a jiných podobných hrách, ve znění pozdějších předpisů (dále jen „zákon o loteriích"), a</w:t>
      </w:r>
      <w:r>
        <w:rPr>
          <w:rStyle w:val="CharStyle13"/>
          <w:i w:val="0"/>
          <w:iCs w:val="0"/>
        </w:rPr>
        <w:t xml:space="preserve"> v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souladu s ustanovením §10 písm. d) a § 84 odst. 2 písm. h) zákona č. 128/2000 Sb., o obcích (obecní zřízení), ve znění pozdějších předpisů, tuto obecně závaznou vyhlášku (dále jen „vyhláška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):</w:t>
      </w:r>
    </w:p>
    <w:p>
      <w:pPr>
        <w:pStyle w:val="Style14"/>
        <w:widowControl w:val="0"/>
        <w:keepNext/>
        <w:keepLines/>
        <w:shd w:val="clear" w:color="auto" w:fill="auto"/>
        <w:bidi w:val="0"/>
        <w:spacing w:before="0" w:after="0"/>
        <w:ind w:left="0" w:right="20" w:firstLine="0"/>
      </w:pPr>
      <w:bookmarkStart w:id="3" w:name="bookmark3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1</w:t>
      </w:r>
      <w:bookmarkEnd w:id="3"/>
    </w:p>
    <w:p>
      <w:pPr>
        <w:pStyle w:val="Style16"/>
        <w:widowControl w:val="0"/>
        <w:keepNext w:val="0"/>
        <w:keepLines w:val="0"/>
        <w:shd w:val="clear" w:color="auto" w:fill="auto"/>
        <w:bidi w:val="0"/>
        <w:spacing w:before="0" w:after="254"/>
        <w:ind w:left="0" w:right="2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Zákaz provozování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celém území obce se zakazuje provozování:</w:t>
      </w:r>
    </w:p>
    <w:p>
      <w:pPr>
        <w:pStyle w:val="Style18"/>
        <w:numPr>
          <w:ilvl w:val="0"/>
          <w:numId w:val="1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sázkových her podle § 2 písm. e), g), i), 1), m) a n) zákona o loteriích;</w:t>
      </w:r>
    </w:p>
    <w:p>
      <w:pPr>
        <w:pStyle w:val="Style18"/>
        <w:numPr>
          <w:ilvl w:val="0"/>
          <w:numId w:val="1"/>
        </w:numPr>
        <w:tabs>
          <w:tab w:leader="none" w:pos="8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loterií a jiných podobných her podle § 2 písm. j) zákona o loteriích;</w:t>
      </w:r>
    </w:p>
    <w:p>
      <w:pPr>
        <w:pStyle w:val="Style18"/>
        <w:numPr>
          <w:ilvl w:val="0"/>
          <w:numId w:val="1"/>
        </w:numPr>
        <w:tabs>
          <w:tab w:leader="none" w:pos="8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66"/>
        <w:ind w:left="4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loterií a jiných podobných her podle § 50 odst. 3 zákona o loteriích.</w:t>
      </w:r>
    </w:p>
    <w:p>
      <w:pPr>
        <w:pStyle w:val="Style14"/>
        <w:widowControl w:val="0"/>
        <w:keepNext/>
        <w:keepLines/>
        <w:shd w:val="clear" w:color="auto" w:fill="auto"/>
        <w:bidi w:val="0"/>
        <w:spacing w:before="0" w:after="0"/>
        <w:ind w:left="0" w:right="20" w:firstLine="0"/>
      </w:pPr>
      <w:bookmarkStart w:id="4" w:name="bookmark4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2</w:t>
      </w:r>
      <w:bookmarkEnd w:id="4"/>
    </w:p>
    <w:p>
      <w:pPr>
        <w:pStyle w:val="Style16"/>
        <w:widowControl w:val="0"/>
        <w:keepNext w:val="0"/>
        <w:keepLines w:val="0"/>
        <w:shd w:val="clear" w:color="auto" w:fill="auto"/>
        <w:bidi w:val="0"/>
        <w:spacing w:before="0" w:after="250"/>
        <w:ind w:left="0" w:right="2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Zrušovací ustanovení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264" w:line="278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Touto vyhláškou se zrušuje obecně závazná vyhláška č. 2/2009, o stanovení veřejně přístupných míst, na kterých je provozování výherních hracích přístrojů zakázáno, ze dne 8. 4. 2009.</w:t>
      </w:r>
    </w:p>
    <w:p>
      <w:pPr>
        <w:pStyle w:val="Style14"/>
        <w:widowControl w:val="0"/>
        <w:keepNext/>
        <w:keepLines/>
        <w:shd w:val="clear" w:color="auto" w:fill="auto"/>
        <w:bidi w:val="0"/>
        <w:jc w:val="left"/>
        <w:spacing w:before="0" w:after="266" w:line="274" w:lineRule="exact"/>
        <w:ind w:left="4180" w:right="4160" w:firstLine="0"/>
      </w:pPr>
      <w:bookmarkStart w:id="5" w:name="bookmark5"/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Článek 3 Účinnost</w:t>
      </w:r>
      <w:bookmarkEnd w:id="5"/>
    </w:p>
    <w:p>
      <w:pPr>
        <w:pStyle w:val="Style18"/>
        <w:widowControl w:val="0"/>
        <w:keepNext w:val="0"/>
        <w:keepLines w:val="0"/>
        <w:shd w:val="clear" w:color="auto" w:fill="auto"/>
        <w:bidi w:val="0"/>
        <w:spacing w:before="0" w:after="367" w:line="266" w:lineRule="exact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vyhláška nabývá účinnosti dnem 1.1. 2012.</w:t>
      </w:r>
    </w:p>
    <w:p>
      <w:pPr>
        <w:framePr w:h="2707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79pt;height:13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271" w:after="0" w:line="552" w:lineRule="exact"/>
        <w:ind w:left="0" w:right="506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Vyvěšeno na úřední desce dne: 15.12.2011 Sejmuto z úřední desky dne: 02.01.2012</w:t>
      </w:r>
    </w:p>
    <w:sectPr>
      <w:footnotePr>
        <w:pos w:val="pageBottom"/>
        <w:numFmt w:val="decimal"/>
        <w:numRestart w:val="continuous"/>
      </w:footnotePr>
      <w:pgSz w:w="12259" w:h="16819"/>
      <w:pgMar w:top="1430" w:left="1333" w:right="1684" w:bottom="143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"/>
    <w:basedOn w:val="DefaultParagraphFont"/>
    <w:link w:val="Style2"/>
    <w:rPr>
      <w:b/>
      <w:bCs/>
      <w:i w:val="0"/>
      <w:iCs w:val="0"/>
      <w:u w:val="none"/>
      <w:strike w:val="0"/>
      <w:smallCaps w:val="0"/>
      <w:sz w:val="38"/>
      <w:szCs w:val="38"/>
      <w:spacing w:val="90"/>
    </w:rPr>
  </w:style>
  <w:style w:type="character" w:customStyle="1" w:styleId="CharStyle5">
    <w:name w:val="Char Style 5"/>
    <w:basedOn w:val="DefaultParagraphFont"/>
    <w:link w:val="Style4"/>
    <w:rPr>
      <w:b/>
      <w:bCs/>
      <w:i w:val="0"/>
      <w:iCs w:val="0"/>
      <w:u w:val="none"/>
      <w:strike w:val="0"/>
      <w:smallCaps w:val="0"/>
      <w:sz w:val="32"/>
      <w:szCs w:val="32"/>
    </w:rPr>
  </w:style>
  <w:style w:type="character" w:customStyle="1" w:styleId="CharStyle7">
    <w:name w:val="Char Style 7"/>
    <w:basedOn w:val="DefaultParagraphFont"/>
    <w:link w:val="Style6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9">
    <w:name w:val="Char Style 9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character" w:customStyle="1" w:styleId="CharStyle10">
    <w:name w:val="Char Style 10"/>
    <w:basedOn w:val="CharStyle9"/>
    <w:rPr>
      <w:lang w:val="cs-CZ" w:eastAsia="cs-CZ" w:bidi="cs-CZ"/>
      <w:rFonts w:ascii="Times New Roman" w:eastAsia="Times New Roman" w:hAnsi="Times New Roman" w:cs="Times New Roman"/>
      <w:w w:val="100"/>
      <w:spacing w:val="0"/>
      <w:color w:val="5123B8"/>
      <w:position w:val="0"/>
    </w:rPr>
  </w:style>
  <w:style w:type="character" w:customStyle="1" w:styleId="CharStyle12">
    <w:name w:val="Char Style 12"/>
    <w:basedOn w:val="DefaultParagraphFont"/>
    <w:link w:val="Style11"/>
    <w:rPr>
      <w:b w:val="0"/>
      <w:bCs w:val="0"/>
      <w:i/>
      <w:iCs/>
      <w:u w:val="none"/>
      <w:strike w:val="0"/>
      <w:smallCaps w:val="0"/>
      <w:sz w:val="22"/>
      <w:szCs w:val="22"/>
    </w:rPr>
  </w:style>
  <w:style w:type="character" w:customStyle="1" w:styleId="CharStyle13">
    <w:name w:val="Char Style 13"/>
    <w:basedOn w:val="CharStyle12"/>
    <w:rPr>
      <w:lang w:val="cs-CZ" w:eastAsia="cs-CZ" w:bidi="cs-CZ"/>
      <w:i/>
      <w:iCs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">
    <w:name w:val="Char Style 15"/>
    <w:basedOn w:val="DefaultParagraphFont"/>
    <w:link w:val="Style14"/>
    <w:rPr>
      <w:b/>
      <w:bCs/>
      <w:i w:val="0"/>
      <w:iCs w:val="0"/>
      <w:u w:val="none"/>
      <w:strike w:val="0"/>
      <w:smallCaps w:val="0"/>
    </w:rPr>
  </w:style>
  <w:style w:type="character" w:customStyle="1" w:styleId="CharStyle17">
    <w:name w:val="Char Style 17"/>
    <w:basedOn w:val="DefaultParagraphFont"/>
    <w:link w:val="Style16"/>
    <w:rPr>
      <w:b/>
      <w:bCs/>
      <w:i w:val="0"/>
      <w:iCs w:val="0"/>
      <w:u w:val="none"/>
      <w:strike w:val="0"/>
      <w:smallCaps w:val="0"/>
    </w:rPr>
  </w:style>
  <w:style w:type="character" w:customStyle="1" w:styleId="CharStyle19">
    <w:name w:val="Char Style 19"/>
    <w:basedOn w:val="DefaultParagraphFont"/>
    <w:link w:val="Style18"/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jc w:val="center"/>
      <w:outlineLvl w:val="0"/>
      <w:spacing w:after="260" w:line="420" w:lineRule="exact"/>
    </w:pPr>
    <w:rPr>
      <w:b/>
      <w:bCs/>
      <w:i w:val="0"/>
      <w:iCs w:val="0"/>
      <w:u w:val="none"/>
      <w:strike w:val="0"/>
      <w:smallCaps w:val="0"/>
      <w:sz w:val="38"/>
      <w:szCs w:val="38"/>
      <w:spacing w:val="90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  <w:jc w:val="center"/>
      <w:outlineLvl w:val="1"/>
      <w:spacing w:before="260" w:after="260" w:line="354" w:lineRule="exact"/>
    </w:pPr>
    <w:rPr>
      <w:b/>
      <w:bCs/>
      <w:i w:val="0"/>
      <w:iCs w:val="0"/>
      <w:u w:val="none"/>
      <w:strike w:val="0"/>
      <w:smallCaps w:val="0"/>
      <w:sz w:val="32"/>
      <w:szCs w:val="32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  <w:outlineLvl w:val="2"/>
      <w:spacing w:before="260" w:line="202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spacing w:after="420" w:line="202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</w:rPr>
  </w:style>
  <w:style w:type="paragraph" w:customStyle="1" w:styleId="Style11">
    <w:name w:val="Style 11"/>
    <w:basedOn w:val="Normal"/>
    <w:link w:val="CharStyle12"/>
    <w:pPr>
      <w:widowControl w:val="0"/>
      <w:shd w:val="clear" w:color="auto" w:fill="FFFFFF"/>
      <w:jc w:val="both"/>
      <w:spacing w:before="420" w:after="540" w:line="250" w:lineRule="exact"/>
    </w:pPr>
    <w:rPr>
      <w:b w:val="0"/>
      <w:bCs w:val="0"/>
      <w:i/>
      <w:iCs/>
      <w:u w:val="none"/>
      <w:strike w:val="0"/>
      <w:smallCaps w:val="0"/>
      <w:sz w:val="22"/>
      <w:szCs w:val="22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FFFFFF"/>
      <w:jc w:val="center"/>
      <w:outlineLvl w:val="3"/>
      <w:spacing w:before="54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6">
    <w:name w:val="Style 16"/>
    <w:basedOn w:val="Normal"/>
    <w:link w:val="CharStyle17"/>
    <w:pPr>
      <w:widowControl w:val="0"/>
      <w:shd w:val="clear" w:color="auto" w:fill="FFFFFF"/>
      <w:jc w:val="center"/>
      <w:spacing w:after="260" w:line="266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FFFFFF"/>
      <w:jc w:val="both"/>
      <w:spacing w:before="260" w:line="274" w:lineRule="exact"/>
    </w:pPr>
    <w:rPr>
      <w:b w:val="0"/>
      <w:bCs w:val="0"/>
      <w:i w:val="0"/>
      <w:iCs w:val="0"/>
      <w:u w:val="none"/>
      <w:strike w:val="0"/>
      <w:smallCaps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Ciglova</dc:creator>
  <cp:keywords/>
</cp:coreProperties>
</file>