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/>
        <w:keepLines/>
        <w:shd w:val="clear" w:color="auto" w:fill="auto"/>
        <w:bidi w:val="0"/>
        <w:spacing w:before="0" w:after="313"/>
        <w:ind w:left="0" w:right="2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OBEC MECHOLUPY</w:t>
      </w:r>
      <w:bookmarkEnd w:id="0"/>
    </w:p>
    <w:p>
      <w:pPr>
        <w:pStyle w:val="Style4"/>
        <w:widowControl w:val="0"/>
        <w:keepNext/>
        <w:keepLines/>
        <w:shd w:val="clear" w:color="auto" w:fill="auto"/>
        <w:bidi w:val="0"/>
        <w:spacing w:before="0" w:after="382"/>
        <w:ind w:left="0" w:right="2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Obecně závazná vyhláška ě. 3/2011,</w:t>
      </w:r>
      <w:bookmarkEnd w:id="1"/>
    </w:p>
    <w:p>
      <w:pPr>
        <w:pStyle w:val="Style6"/>
        <w:widowControl w:val="0"/>
        <w:keepNext/>
        <w:keepLines/>
        <w:shd w:val="clear" w:color="auto" w:fill="auto"/>
        <w:bidi w:val="0"/>
        <w:jc w:val="left"/>
        <w:spacing w:before="0" w:after="0"/>
        <w:ind w:left="420" w:right="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 regulaci provozování sázkových her, loterií a jiných podobných her</w:t>
      </w:r>
      <w:bookmarkEnd w:id="2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382"/>
        <w:ind w:left="1740" w:right="0" w:firstLine="0"/>
      </w:pPr>
      <w:r>
        <w:rPr>
          <w:rStyle w:val="CharStyle10"/>
        </w:rPr>
        <w:t>*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527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Zastupitelstvo obce Měcholupy se na svém zasedání dne!4.12.2011 usneslo usnesením č. S-lll/2011 vydat na základě ustanovení § 50 odst. 4 zákona č. 202/1990 Sb., o loteriích a jiných podobných hrách, ve znění pozdějších předpisů (dále jen „zákon o loteriích"), a</w:t>
      </w:r>
      <w:r>
        <w:rPr>
          <w:rStyle w:val="CharStyle13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souladu s ustanovením §10 písm. d) a § 84 odst. 2 písm. h) zákona č. 128/2000 Sb., o obcích (obecní zřízení), ve znění pozdějších předpisů, tuto obecně závaznou vyhlášku (dále jen „vyhláška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):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/>
        <w:ind w:left="0" w:right="20" w:firstLine="0"/>
      </w:pPr>
      <w:bookmarkStart w:id="3" w:name="bookmark3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1</w:t>
      </w:r>
      <w:bookmarkEnd w:id="3"/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254"/>
        <w:ind w:left="0" w:right="2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Zákaz provozování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celém území obce se zakazuje provozování:</w:t>
      </w:r>
    </w:p>
    <w:p>
      <w:pPr>
        <w:pStyle w:val="Style18"/>
        <w:numPr>
          <w:ilvl w:val="0"/>
          <w:numId w:val="1"/>
        </w:numPr>
        <w:tabs>
          <w:tab w:leader="none" w:pos="78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sázkových her podle § 2 písm. e), g), i), 1), m) a n) zákona o loteriích;</w:t>
      </w:r>
    </w:p>
    <w:p>
      <w:pPr>
        <w:pStyle w:val="Style18"/>
        <w:numPr>
          <w:ilvl w:val="0"/>
          <w:numId w:val="1"/>
        </w:numPr>
        <w:tabs>
          <w:tab w:leader="none" w:pos="80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loterií a jiných podobných her podle § 2 písm. j) zákona o loteriích;</w:t>
      </w:r>
    </w:p>
    <w:p>
      <w:pPr>
        <w:pStyle w:val="Style18"/>
        <w:numPr>
          <w:ilvl w:val="0"/>
          <w:numId w:val="1"/>
        </w:numPr>
        <w:tabs>
          <w:tab w:leader="none" w:pos="80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6"/>
        <w:ind w:left="4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loterií a jiných podobných her podle § 50 odst. 3 zákona o loteriích.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/>
        <w:ind w:left="0" w:right="20" w:firstLine="0"/>
      </w:pPr>
      <w:bookmarkStart w:id="4" w:name="bookmark4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2</w:t>
      </w:r>
      <w:bookmarkEnd w:id="4"/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250"/>
        <w:ind w:left="0" w:right="2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Zrušovací ustanovení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64" w:line="27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Touto vyhláškou se zrušuje obecně závazná vyhláška č. 2/2009, o stanovení veřejně přístupných míst, na kterých je provozování výherních hracích přístrojů zakázáno, ze dne 8. 4. 2009.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266" w:line="274" w:lineRule="exact"/>
        <w:ind w:left="4180" w:right="4160" w:firstLine="0"/>
      </w:pPr>
      <w:bookmarkStart w:id="5" w:name="bookmark5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3 Účinnost</w:t>
      </w:r>
      <w:bookmarkEnd w:id="5"/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367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vyhláška nabývá účinnosti dnem 1.1. 2012.</w:t>
      </w:r>
    </w:p>
    <w:p>
      <w:pPr>
        <w:framePr w:h="2707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79pt;height:13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271" w:after="0" w:line="552" w:lineRule="exact"/>
        <w:ind w:left="0" w:right="506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Vyvěšeno na úřední desce dne: 15.12.2011 Sejmuto z úřední desky dne: 02.01.2012</w:t>
      </w:r>
    </w:p>
    <w:sectPr>
      <w:footnotePr>
        <w:pos w:val="pageBottom"/>
        <w:numFmt w:val="decimal"/>
        <w:numRestart w:val="continuous"/>
      </w:footnotePr>
      <w:pgSz w:w="12259" w:h="16819"/>
      <w:pgMar w:top="1430" w:left="1333" w:right="1684" w:bottom="143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u w:val="none"/>
      <w:strike w:val="0"/>
      <w:smallCaps w:val="0"/>
      <w:sz w:val="38"/>
      <w:szCs w:val="38"/>
      <w:spacing w:val="90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u w:val="none"/>
      <w:strike w:val="0"/>
      <w:smallCaps w:val="0"/>
      <w:sz w:val="32"/>
      <w:szCs w:val="32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9"/>
      <w:szCs w:val="9"/>
    </w:rPr>
  </w:style>
  <w:style w:type="character" w:customStyle="1" w:styleId="CharStyle10">
    <w:name w:val="Char Style 10"/>
    <w:basedOn w:val="CharStyle9"/>
    <w:rPr>
      <w:lang w:val="cs-CZ" w:eastAsia="cs-CZ" w:bidi="cs-CZ"/>
      <w:rFonts w:ascii="Times New Roman" w:eastAsia="Times New Roman" w:hAnsi="Times New Roman" w:cs="Times New Roman"/>
      <w:w w:val="100"/>
      <w:spacing w:val="0"/>
      <w:color w:val="5123B8"/>
      <w:position w:val="0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/>
      <w:iCs/>
      <w:u w:val="none"/>
      <w:strike w:val="0"/>
      <w:smallCaps w:val="0"/>
      <w:sz w:val="22"/>
      <w:szCs w:val="22"/>
    </w:rPr>
  </w:style>
  <w:style w:type="character" w:customStyle="1" w:styleId="CharStyle13">
    <w:name w:val="Char Style 13"/>
    <w:basedOn w:val="CharStyle12"/>
    <w:rPr>
      <w:lang w:val="cs-CZ" w:eastAsia="cs-CZ" w:bidi="cs-CZ"/>
      <w:i/>
      <w:i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5">
    <w:name w:val="Char Style 15"/>
    <w:basedOn w:val="DefaultParagraphFont"/>
    <w:link w:val="Style14"/>
    <w:rPr>
      <w:b/>
      <w:bCs/>
      <w:i w:val="0"/>
      <w:iCs w:val="0"/>
      <w:u w:val="none"/>
      <w:strike w:val="0"/>
      <w:smallCaps w:val="0"/>
    </w:rPr>
  </w:style>
  <w:style w:type="character" w:customStyle="1" w:styleId="CharStyle17">
    <w:name w:val="Char Style 17"/>
    <w:basedOn w:val="DefaultParagraphFont"/>
    <w:link w:val="Style16"/>
    <w:rPr>
      <w:b/>
      <w:bCs/>
      <w:i w:val="0"/>
      <w:iCs w:val="0"/>
      <w:u w:val="none"/>
      <w:strike w:val="0"/>
      <w:smallCaps w:val="0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  <w:outlineLvl w:val="0"/>
      <w:spacing w:after="260" w:line="420" w:lineRule="exact"/>
    </w:pPr>
    <w:rPr>
      <w:b/>
      <w:bCs/>
      <w:i w:val="0"/>
      <w:iCs w:val="0"/>
      <w:u w:val="none"/>
      <w:strike w:val="0"/>
      <w:smallCaps w:val="0"/>
      <w:sz w:val="38"/>
      <w:szCs w:val="38"/>
      <w:spacing w:val="90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  <w:outlineLvl w:val="1"/>
      <w:spacing w:before="260" w:after="260" w:line="354" w:lineRule="exact"/>
    </w:pPr>
    <w:rPr>
      <w:b/>
      <w:bCs/>
      <w:i w:val="0"/>
      <w:iCs w:val="0"/>
      <w:u w:val="none"/>
      <w:strike w:val="0"/>
      <w:smallCaps w:val="0"/>
      <w:sz w:val="32"/>
      <w:szCs w:val="32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outlineLvl w:val="2"/>
      <w:spacing w:before="260" w:line="202" w:lineRule="exact"/>
    </w:pPr>
    <w:rPr>
      <w:b/>
      <w:bCs/>
      <w:i w:val="0"/>
      <w:iCs w:val="0"/>
      <w:u w:val="none"/>
      <w:strike w:val="0"/>
      <w:smallCaps w:val="0"/>
      <w:sz w:val="28"/>
      <w:szCs w:val="28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420" w:line="202" w:lineRule="exact"/>
    </w:pPr>
    <w:rPr>
      <w:b w:val="0"/>
      <w:bCs w:val="0"/>
      <w:i w:val="0"/>
      <w:iCs w:val="0"/>
      <w:u w:val="none"/>
      <w:strike w:val="0"/>
      <w:smallCaps w:val="0"/>
      <w:sz w:val="9"/>
      <w:szCs w:val="9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both"/>
      <w:spacing w:before="420" w:after="540" w:line="250" w:lineRule="exact"/>
    </w:pPr>
    <w:rPr>
      <w:b w:val="0"/>
      <w:bCs w:val="0"/>
      <w:i/>
      <w:iCs/>
      <w:u w:val="none"/>
      <w:strike w:val="0"/>
      <w:smallCaps w:val="0"/>
      <w:sz w:val="22"/>
      <w:szCs w:val="22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jc w:val="center"/>
      <w:outlineLvl w:val="3"/>
      <w:spacing w:before="540"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jc w:val="center"/>
      <w:spacing w:after="260"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jc w:val="both"/>
      <w:spacing w:before="260" w:line="274" w:lineRule="exact"/>
    </w:pPr>
    <w:rPr>
      <w:b w:val="0"/>
      <w:bCs w:val="0"/>
      <w:i w:val="0"/>
      <w:iCs w:val="0"/>
      <w:u w:val="none"/>
      <w:strike w:val="0"/>
      <w:smallCaps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Ciglova</dc:creator>
  <cp:keywords/>
</cp:coreProperties>
</file>