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8" w:after="0" w:line="471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6"/>
          <w:w w:val="95"/>
          <w:sz w:val="39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6"/>
          <w:w w:val="95"/>
          <w:sz w:val="39"/>
          <w:vertAlign w:val="baseline"/>
          <w:lang w:val="cs-CZ"/>
        </w:rPr>
        <w:t xml:space="preserve">OBEC RA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6"/>
          <w:w w:val="95"/>
          <w:sz w:val="39"/>
          <w:vertAlign w:val="baseline"/>
          <w:lang w:val="cs-CZ"/>
        </w:rPr>
        <w:t xml:space="preserve">ČINĚ VES</w:t>
      </w:r>
    </w:p>
    <w:p>
      <w:pPr>
        <w:spacing w:before="5" w:after="0" w:line="35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31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31"/>
          <w:vertAlign w:val="baseline"/>
          <w:lang w:val="cs-CZ"/>
        </w:rPr>
        <w:t xml:space="preserve">Obecn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31"/>
          <w:vertAlign w:val="baseline"/>
          <w:lang w:val="cs-CZ"/>
        </w:rPr>
        <w:t xml:space="preserve">ě závazná vyhláška č. 1/2016,</w:t>
      </w:r>
    </w:p>
    <w:p>
      <w:pPr>
        <w:spacing w:before="283" w:after="0" w:line="321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  <w:t xml:space="preserve">o regulaci hlu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  <w:t xml:space="preserve">čné zábavní pyrotechniky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  <w:t xml:space="preserve">a provádění pyrotechnických efektů způsobujících hluk</w:t>
      </w:r>
    </w:p>
    <w:p>
      <w:pPr>
        <w:spacing w:before="277" w:after="0" w:line="298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i w:val="true"/>
          <w:strike w:val="false"/>
          <w:color w:val="000000"/>
          <w:spacing w:val="6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i w:val="true"/>
          <w:strike w:val="false"/>
          <w:color w:val="000000"/>
          <w:spacing w:val="6"/>
          <w:w w:val="100"/>
          <w:sz w:val="25"/>
          <w:vertAlign w:val="baseline"/>
          <w:lang w:val="cs-CZ"/>
        </w:rPr>
        <w:t xml:space="preserve">Zastupitelstvo obce Ra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6"/>
          <w:w w:val="100"/>
          <w:sz w:val="25"/>
          <w:vertAlign w:val="baseline"/>
          <w:lang w:val="cs-CZ"/>
        </w:rPr>
        <w:t xml:space="preserve">činěves se na svém zasedání dne 14. 12. 2016 usneslo vydat na základě § 10 písm. a) a § 84 odst 2 písm. h) zákona č. 128/2000 Sb., o obcích (obecní zřízení), ve znění pozdějších předpisů, a na základě § 47 odst 6 zákona Č. 200/1990 Sb., o přestupcích, ve znění pozdějších předpisů, tuto obecně závaznou vyhlášku (dále jen „vyhláška"):</w:t>
      </w:r>
    </w:p>
    <w:p>
      <w:pPr>
        <w:spacing w:before="297" w:after="0" w:line="310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-4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-4"/>
          <w:w w:val="100"/>
          <w:sz w:val="26"/>
          <w:vertAlign w:val="baseline"/>
          <w:lang w:val="cs-CZ"/>
        </w:rPr>
        <w:t xml:space="preserve">Článek 1</w:t>
      </w:r>
    </w:p>
    <w:p>
      <w:pPr>
        <w:spacing w:before="0" w:after="0" w:line="300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  <w:t xml:space="preserve">Úvodní ustanovení</w:t>
      </w:r>
    </w:p>
    <w:p>
      <w:pPr>
        <w:numPr>
          <w:ilvl w:val="0"/>
          <w:numId w:val="2"/>
        </w:numPr>
        <w:tabs>
          <w:tab w:val="clear" w:pos="360"/>
          <w:tab w:val="left" w:pos="360"/>
        </w:tabs>
        <w:spacing w:before="291" w:after="0" w:line="298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Činností, která by mohla narušit veřejný pořádek a občanské soužití v obci Račiněves (dále jen „obec"), je používání hlučné zábavní pyrotechniky a provádění pyrotechnických efektů způsobujících hluk.</w:t>
      </w:r>
    </w:p>
    <w:p>
      <w:pPr>
        <w:numPr>
          <w:ilvl w:val="0"/>
          <w:numId w:val="2"/>
        </w:numPr>
        <w:tabs>
          <w:tab w:val="clear" w:pos="360"/>
          <w:tab w:val="left" w:pos="360"/>
        </w:tabs>
        <w:spacing w:before="4" w:after="0" w:line="298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Dlouhodobé hlukové zatížení životního prost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ředí a ochranu před hlukem, který svou velkou intenzitou a délkou trvání hlukové zátěže může ohrozit zdraví obyvatelstva, upravují zvláštní zákony.'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superscript"/>
          <w:lang w:val="cs-CZ"/>
        </w:rPr>
        <w:t xml:space="preserve">)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r>
    </w:p>
    <w:p>
      <w:pPr>
        <w:numPr>
          <w:ilvl w:val="0"/>
          <w:numId w:val="2"/>
        </w:numPr>
        <w:tabs>
          <w:tab w:val="clear" w:pos="360"/>
          <w:tab w:val="left" w:pos="360"/>
        </w:tabs>
        <w:spacing w:before="4" w:after="0" w:line="298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Ochranu no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čního klidu upravuje zvláštní zákon. 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superscript"/>
          <w:lang w:val="cs-CZ"/>
        </w:rPr>
        <w:t xml:space="preserve">2)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15"/>
          <w:vertAlign w:val="baseline"/>
          <w:lang w:val="cs-CZ"/>
        </w:rPr>
      </w:r>
    </w:p>
    <w:p>
      <w:pPr>
        <w:numPr>
          <w:ilvl w:val="0"/>
          <w:numId w:val="2"/>
        </w:numPr>
        <w:tabs>
          <w:tab w:val="clear" w:pos="360"/>
          <w:tab w:val="left" w:pos="360"/>
        </w:tabs>
        <w:spacing w:before="0" w:after="0" w:line="298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16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16"/>
          <w:w w:val="100"/>
          <w:sz w:val="25"/>
          <w:vertAlign w:val="baseline"/>
          <w:lang w:val="cs-CZ"/>
        </w:rPr>
        <w:t xml:space="preserve">Cílem této obecn</w:t>
      </w:r>
      <w:r>
        <w:rPr>
          <w:rFonts w:ascii="Times New Roman" w:hAnsi="Times New Roman" w:eastAsia="Times New Roman"/>
          <w:strike w:val="false"/>
          <w:color w:val="000000"/>
          <w:spacing w:val="16"/>
          <w:w w:val="100"/>
          <w:sz w:val="25"/>
          <w:vertAlign w:val="baseline"/>
          <w:lang w:val="cs-CZ"/>
        </w:rPr>
        <w:t xml:space="preserve">ě závazné vyhlášky je zlepšení pohody bydlení a pobytu</w:t>
      </w:r>
    </w:p>
    <w:p>
      <w:pPr>
        <w:spacing w:before="2" w:after="0" w:line="298" w:lineRule="exact"/>
        <w:ind w:right="0" w:left="36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v otev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řených prostorech v zastavěném území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superscript"/>
          <w:lang w:val="cs-CZ"/>
        </w:rPr>
        <w:t xml:space="preserve">3)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 obce, a to přiměřeným omezením činnosti uvedené v odst.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6"/>
          <w:vertAlign w:val="baseline"/>
          <w:lang w:val="cs-CZ"/>
        </w:rPr>
        <w:t xml:space="preserve">1,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jakož i zmírnění takového omezení ve výjimečných případech, a to prostřednictvím možnosti poskytovat výjimky, a konečně zmírnění ochrany nočního klidu ve výjimečných případech, a to zkrácením doby nočního klidu ve výjimečných případech, a to zkrácením doby nočního klidu ve výjimečných případech.</w:t>
      </w:r>
    </w:p>
    <w:p>
      <w:pPr>
        <w:spacing w:before="303" w:after="0" w:line="309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-3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-3"/>
          <w:w w:val="100"/>
          <w:sz w:val="26"/>
          <w:vertAlign w:val="baseline"/>
          <w:lang w:val="cs-CZ"/>
        </w:rPr>
        <w:t xml:space="preserve">Článek 2</w:t>
      </w:r>
    </w:p>
    <w:p>
      <w:pPr>
        <w:spacing w:before="4" w:after="0" w:line="296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-1"/>
          <w:w w:val="100"/>
          <w:sz w:val="26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-1"/>
          <w:w w:val="100"/>
          <w:sz w:val="26"/>
          <w:vertAlign w:val="baseline"/>
          <w:lang w:val="cs-CZ"/>
        </w:rPr>
        <w:t xml:space="preserve">Omezení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-1"/>
          <w:w w:val="100"/>
          <w:sz w:val="26"/>
          <w:vertAlign w:val="baseline"/>
          <w:lang w:val="cs-CZ"/>
        </w:rPr>
        <w:t xml:space="preserve">činnosti</w:t>
      </w:r>
    </w:p>
    <w:p>
      <w:pPr>
        <w:spacing w:before="292" w:after="0" w:line="298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Používání hlu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čné zábavní pyrotechniky a provádění pyrotechnických efektů způsobujících hluk je zakázáno na všech veřejných prostranstvích v zastavěném území obce a dále na všech místech v obci, pokud hluk v intenzitě způsobilé narušit veřejný pořádek přesáhne na veřejné prostranství nebo nemovitost jiné osoby nacházející se</w:t>
      </w:r>
    </w:p>
    <w:p>
      <w:pPr>
        <w:spacing w:before="1" w:after="560" w:line="29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  <w:t xml:space="preserve">v zastav</w:t>
      </w: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  <w:t xml:space="preserve">ěném území obce.</w:t>
      </w:r>
    </w:p>
    <w:p>
      <w:pPr>
        <w:numPr>
          <w:ilvl w:val="0"/>
          <w:numId w:val="3"/>
        </w:numPr>
        <w:tabs>
          <w:tab w:val="clear" w:pos="216"/>
          <w:tab w:val="left" w:pos="216"/>
        </w:tabs>
        <w:spacing w:before="128" w:after="0" w:line="229" w:lineRule="exact"/>
        <w:ind w:right="0" w:left="216" w:hanging="216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2"/>
          <w:w w:val="100"/>
          <w:sz w:val="19"/>
          <w:vertAlign w:val="baseline"/>
          <w:lang w:val="cs-CZ"/>
        </w:rPr>
      </w:pPr>
      <w:r>
        <w:pict>
          <v:line strokeweight="0.7pt" strokecolor="#040404" from="64.8pt,695.5pt" to="210.55pt,695.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19"/>
          <w:vertAlign w:val="baseline"/>
          <w:lang w:val="cs-CZ"/>
        </w:rPr>
        <w:t xml:space="preserve">nap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19"/>
          <w:vertAlign w:val="baseline"/>
          <w:lang w:val="cs-CZ"/>
        </w:rPr>
        <w:t xml:space="preserve">ř. zákon Č. 258/2000 Sb., o ochraně veřejného zdraví, ve znění pozdějších předpisů</w:t>
      </w:r>
    </w:p>
    <w:p>
      <w:pPr>
        <w:numPr>
          <w:ilvl w:val="0"/>
          <w:numId w:val="3"/>
        </w:numPr>
        <w:tabs>
          <w:tab w:val="clear" w:pos="360"/>
          <w:tab w:val="left" w:pos="360"/>
        </w:tabs>
        <w:spacing w:before="1" w:after="0" w:line="229" w:lineRule="exact"/>
        <w:ind w:right="0" w:left="216" w:hanging="216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47 odst. 1 písm. c) zákona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Č. 200/1990 Sb., o přestupcích, ve znění pozdějších předpisů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(Přestupku se dopustí ten, kdo poruší noční klid): §.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47 odst. 6 zákona Č. 200/1990 Sb., o přestupcích, ve mění pozdějších předpisů </w:t>
      </w:r>
      <w:r>
        <w:rPr>
          <w:rFonts w:ascii="Times New Roman" w:hAnsi="Times New Roman" w:eastAsia="Times New Roman"/>
          <w:i w:val="true"/>
          <w:strike w:val="false"/>
          <w:color w:val="000000"/>
          <w:spacing w:val="0"/>
          <w:w w:val="100"/>
          <w:sz w:val="19"/>
          <w:vertAlign w:val="baseline"/>
          <w:lang w:val="cs-CZ"/>
        </w:rPr>
        <w:t xml:space="preserve">(Dobou nočního klidu se rozumí doba od 22. Do 6 hodiny.)</w:t>
      </w:r>
    </w:p>
    <w:p>
      <w:pPr>
        <w:numPr>
          <w:ilvl w:val="0"/>
          <w:numId w:val="3"/>
        </w:numPr>
        <w:tabs>
          <w:tab w:val="clear" w:pos="216"/>
          <w:tab w:val="left" w:pos="216"/>
        </w:tabs>
        <w:spacing w:before="0" w:after="0" w:line="232" w:lineRule="exact"/>
        <w:ind w:right="0" w:left="216" w:hanging="216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3"/>
          <w:w w:val="100"/>
          <w:sz w:val="19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19"/>
          <w:vertAlign w:val="baseline"/>
          <w:lang w:val="cs-CZ"/>
        </w:rPr>
        <w:t xml:space="preserve">územní plán obce je k nahlédnutí na Obecním ú</w:t>
      </w: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19"/>
          <w:vertAlign w:val="baseline"/>
          <w:lang w:val="cs-CZ"/>
        </w:rPr>
        <w:t xml:space="preserve">řadu obce</w:t>
      </w:r>
    </w:p>
    <w:p>
      <w:pPr>
        <w:sectPr>
          <w:type w:val="nextPage"/>
          <w:pgSz w:w="11794" w:h="16723" w:orient="portrait"/>
          <w:pgMar w:bottom="1027" w:top="1720" w:right="1488" w:left="1296" w:header="720" w:footer="720"/>
          <w:titlePg w:val="false"/>
          <w:textDirection w:val="lrTb"/>
        </w:sectPr>
      </w:pPr>
    </w:p>
    <w:p>
      <w:pPr>
        <w:spacing w:before="23" w:after="0" w:line="29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Článek 3</w:t>
      </w:r>
    </w:p>
    <w:p>
      <w:pPr>
        <w:spacing w:before="1" w:after="0" w:line="29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Výjimky a zkrácení doby no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čního klidu</w:t>
      </w:r>
    </w:p>
    <w:p>
      <w:pPr>
        <w:numPr>
          <w:ilvl w:val="0"/>
          <w:numId w:val="4"/>
        </w:numPr>
        <w:tabs>
          <w:tab w:val="clear" w:pos="360"/>
          <w:tab w:val="left" w:pos="360"/>
        </w:tabs>
        <w:spacing w:before="283" w:after="0" w:line="300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Zákaz dle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čl. 2 neplatí od 12:00 hodin dne 31. prosince do 12:00 hodin dne 1. ledna následujícího roku.</w:t>
      </w:r>
    </w:p>
    <w:p>
      <w:pPr>
        <w:numPr>
          <w:ilvl w:val="0"/>
          <w:numId w:val="4"/>
        </w:numPr>
        <w:tabs>
          <w:tab w:val="clear" w:pos="360"/>
          <w:tab w:val="left" w:pos="360"/>
        </w:tabs>
        <w:spacing w:before="1" w:after="0" w:line="300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Sou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časně se na celém území města ruší doba nočního klidu od 22:00 hodin dne 31. prosince do 6:00 hodin dne 1. ledna.</w:t>
      </w:r>
    </w:p>
    <w:p>
      <w:pPr>
        <w:numPr>
          <w:ilvl w:val="0"/>
          <w:numId w:val="4"/>
        </w:numPr>
        <w:tabs>
          <w:tab w:val="clear" w:pos="360"/>
          <w:tab w:val="left" w:pos="360"/>
        </w:tabs>
        <w:spacing w:before="0" w:after="0" w:line="298" w:lineRule="exact"/>
        <w:ind w:right="0" w:left="360" w:hanging="36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  <w:t xml:space="preserve">Obecní ú</w:t>
      </w: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  <w:t xml:space="preserve">řad může udělit výjimku</w:t>
      </w: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superscript"/>
          <w:lang w:val="cs-CZ"/>
        </w:rPr>
        <w:t xml:space="preserve">4)</w:t>
      </w:r>
      <w:r>
        <w:rPr>
          <w:rFonts w:ascii="Times New Roman" w:hAnsi="Times New Roman" w:eastAsia="Times New Roman"/>
          <w:strike w:val="false"/>
          <w:color w:val="000000"/>
          <w:spacing w:val="4"/>
          <w:w w:val="100"/>
          <w:sz w:val="25"/>
          <w:vertAlign w:val="baseline"/>
          <w:lang w:val="cs-CZ"/>
        </w:rPr>
        <w:t xml:space="preserve"> ze zákazu dle čl. 2 pro dobu mimo dobu nočního klidu, a to na žádost podanou na Obecní úřad alespoň 30 dnů před plánovaným dnem provádění činnosti dle čl. 2 vyhlášky, která musí obsahovat alespoň:</w:t>
      </w:r>
    </w:p>
    <w:p>
      <w:pPr>
        <w:numPr>
          <w:ilvl w:val="0"/>
          <w:numId w:val="5"/>
        </w:numPr>
        <w:tabs>
          <w:tab w:val="clear" w:pos="432"/>
          <w:tab w:val="left" w:pos="792"/>
        </w:tabs>
        <w:spacing w:before="5" w:after="0" w:line="300" w:lineRule="exact"/>
        <w:ind w:right="0" w:left="792" w:hanging="432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identifikaci osoby hodlající provád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ět činnost dle čl. 2 vyhlášky,</w:t>
      </w:r>
    </w:p>
    <w:p>
      <w:pPr>
        <w:numPr>
          <w:ilvl w:val="0"/>
          <w:numId w:val="5"/>
        </w:numPr>
        <w:tabs>
          <w:tab w:val="clear" w:pos="432"/>
          <w:tab w:val="left" w:pos="792"/>
        </w:tabs>
        <w:spacing w:before="2" w:after="0" w:line="300" w:lineRule="exact"/>
        <w:ind w:right="0" w:left="792" w:hanging="432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ozna</w:t>
      </w:r>
      <w:r>
        <w:rPr>
          <w:rFonts w:ascii="Times New Roman" w:hAnsi="Times New Roman" w:eastAsia="Times New Roman"/>
          <w:strike w:val="false"/>
          <w:color w:val="000000"/>
          <w:spacing w:val="2"/>
          <w:w w:val="100"/>
          <w:sz w:val="25"/>
          <w:vertAlign w:val="baseline"/>
          <w:lang w:val="cs-CZ"/>
        </w:rPr>
        <w:t xml:space="preserve">čení místa a doby (počátku a konce) plánované činnosti čl. 2 vyhlášky,</w:t>
      </w:r>
    </w:p>
    <w:p>
      <w:pPr>
        <w:numPr>
          <w:ilvl w:val="0"/>
          <w:numId w:val="5"/>
        </w:numPr>
        <w:tabs>
          <w:tab w:val="clear" w:pos="432"/>
          <w:tab w:val="left" w:pos="792"/>
        </w:tabs>
        <w:spacing w:before="0" w:after="0" w:line="297" w:lineRule="exact"/>
        <w:ind w:right="0" w:left="792" w:hanging="432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p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ředpokládaný rozsah plánované činnosti dle čl. 2 vyhlášky (zejména druhy, velikost, množství použité zábavní pyrotechniky).</w:t>
      </w:r>
    </w:p>
    <w:p>
      <w:pPr>
        <w:spacing w:before="315" w:after="0" w:line="29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Článek 4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Účinnost</w:t>
      </w:r>
    </w:p>
    <w:p>
      <w:pPr>
        <w:spacing w:before="290" w:after="1620" w:line="300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3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25"/>
          <w:vertAlign w:val="baseline"/>
          <w:lang w:val="cs-CZ"/>
        </w:rPr>
        <w:t xml:space="preserve">Tato vyhláška nabývá ú</w:t>
      </w: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25"/>
          <w:vertAlign w:val="baseline"/>
          <w:lang w:val="cs-CZ"/>
        </w:rPr>
        <w:t xml:space="preserve">činnosti 31. 12. 2016.</w:t>
      </w:r>
    </w:p>
    <w:p>
      <w:pPr>
        <w:spacing w:before="0" w:after="0" w:line="240" w:lineRule="auto"/>
        <w:ind w:right="476" w:left="480"/>
        <w:jc w:val="left"/>
        <w:textAlignment w:val="baseline"/>
      </w:pPr>
      <w:r>
        <w:drawing>
          <wp:inline>
            <wp:extent cx="5114290" cy="661670"/>
            <wp:docPr id="1" name="Picture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794" w:h="16723" w:orient="portrait"/>
          <w:pgMar w:bottom="1087" w:top="1680" w:right="1464" w:left="1320" w:header="720" w:footer="720"/>
          <w:titlePg w:val="false"/>
          <w:textDirection w:val="lrTb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675"/>
        <w:gridCol w:w="2925"/>
      </w:tblGrid>
      <w:tr>
        <w:trPr>
          <w:trHeight w:val="567" w:hRule="exact"/>
        </w:trPr>
        <w:tc>
          <w:tcPr>
            <w:tcW w:w="4675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0" w:line="280" w:lineRule="exact"/>
              <w:ind w:right="0" w:left="0" w:firstLine="0"/>
              <w:jc w:val="center"/>
              <w:textAlignment w:val="baseline"/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5"/>
                <w:vertAlign w:val="baseline"/>
                <w:lang w:val="cs-CZ"/>
              </w:rPr>
            </w:pP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5"/>
                <w:vertAlign w:val="baseline"/>
                <w:lang w:val="cs-CZ"/>
              </w:rPr>
              <w:t xml:space="preserve">Václava Zelenková
</w:t>
              <w:br/>
            </w: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5"/>
                <w:vertAlign w:val="baseline"/>
                <w:lang w:val="cs-CZ"/>
              </w:rPr>
              <w:t xml:space="preserve">starostka</w:t>
            </w:r>
          </w:p>
        </w:tc>
        <w:tc>
          <w:tcPr>
            <w:tcW w:w="760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0" w:after="0" w:line="280" w:lineRule="exact"/>
              <w:ind w:right="0" w:left="1404" w:firstLine="0"/>
              <w:jc w:val="right"/>
              <w:textAlignment w:val="baseline"/>
              <w:rPr>
                <w:rFonts w:ascii="Times New Roman" w:hAnsi="Times New Roman" w:eastAsia="Times New Roman"/>
                <w:strike w:val="false"/>
                <w:color w:val="000000"/>
                <w:spacing w:val="-1"/>
                <w:w w:val="100"/>
                <w:sz w:val="25"/>
                <w:vertAlign w:val="baseline"/>
                <w:lang w:val="cs-CZ"/>
              </w:rPr>
            </w:pPr>
            <w:r>
              <w:rPr>
                <w:rFonts w:ascii="Times New Roman" w:hAnsi="Times New Roman" w:eastAsia="Times New Roman"/>
                <w:strike w:val="false"/>
                <w:color w:val="000000"/>
                <w:spacing w:val="-1"/>
                <w:w w:val="100"/>
                <w:sz w:val="25"/>
                <w:vertAlign w:val="baseline"/>
                <w:lang w:val="cs-CZ"/>
              </w:rPr>
              <w:t xml:space="preserve">Jaro, lav </w:t>
            </w:r>
            <w:r>
              <w:rPr>
                <w:rFonts w:ascii="Times New Roman" w:hAnsi="Times New Roman" w:eastAsia="Times New Roman"/>
                <w:strike w:val="false"/>
                <w:color w:val="000000"/>
                <w:spacing w:val="-1"/>
                <w:w w:val="100"/>
                <w:sz w:val="25"/>
                <w:vertAlign w:val="baseline"/>
                <w:lang w:val="cs-CZ"/>
              </w:rPr>
              <w:t xml:space="preserve">Černý místostarosta</w:t>
            </w:r>
          </w:p>
        </w:tc>
      </w:tr>
    </w:tbl>
    <w:p>
      <w:pPr>
        <w:spacing w:before="0" w:after="1816" w:line="20" w:lineRule="exact"/>
      </w:pPr>
    </w:p>
    <w:p>
      <w:pPr>
        <w:spacing w:before="0" w:after="1106" w:line="441" w:lineRule="exact"/>
        <w:ind w:right="2952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Vyv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5"/>
          <w:vertAlign w:val="baseline"/>
          <w:lang w:val="cs-CZ"/>
        </w:rPr>
        <w:t xml:space="preserve">ěšeno na úřední desce dne: 15. 12. 2016 Sejmuto z úřední desky dne: 2. 1. 2017</w:t>
      </w:r>
    </w:p>
    <w:p>
      <w:pPr>
        <w:spacing w:before="128" w:after="0" w:line="233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3"/>
          <w:w w:val="100"/>
          <w:sz w:val="12"/>
          <w:vertAlign w:val="superscript"/>
          <w:lang w:val="cs-CZ"/>
        </w:rPr>
      </w:pPr>
      <w:r>
        <w:pict>
          <v:line strokeweight="0.7pt" strokecolor="#080808" from="66pt,738.95pt" to="211.75pt,738.9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12"/>
          <w:vertAlign w:val="superscript"/>
          <w:lang w:val="cs-CZ"/>
        </w:rPr>
        <w:t xml:space="preserve">4)</w:t>
      </w: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19"/>
          <w:vertAlign w:val="baseline"/>
          <w:lang w:val="cs-CZ"/>
        </w:rPr>
        <w:t xml:space="preserve"> </w:t>
      </w:r>
      <w:r>
        <w:rPr>
          <w:rFonts w:ascii="Times New Roman" w:hAnsi="Times New Roman" w:eastAsia="Times New Roman"/>
          <w:strike w:val="false"/>
          <w:color w:val="000000"/>
          <w:spacing w:val="3"/>
          <w:w w:val="100"/>
          <w:sz w:val="19"/>
          <w:vertAlign w:val="baseline"/>
          <w:lang w:val="cs-CZ"/>
        </w:rPr>
        <w:t xml:space="preserve">část druhá zákona Č. 500/2004 Sb., správní řád, ve znění pozdějších předpisů</w:t>
      </w:r>
    </w:p>
    <w:sectPr>
      <w:type w:val="continuous"/>
      <w:pgSz w:w="11794" w:h="16723" w:orient="portrait"/>
      <w:pgMar w:bottom="1087" w:top="1680" w:right="2874" w:left="132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strike w:val="false"/>
        <w:color w:val="000000"/>
        <w:spacing w:val="0"/>
        <w:w w:val="100"/>
        <w:sz w:val="25"/>
        <w:vertAlign w:val="baseline"/>
        <w:lang w:val="cs-CZ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hAnsi="Times New Roman" w:eastAsia="Times New Roman"/>
        <w:strike w:val="false"/>
        <w:color w:val="000000"/>
        <w:spacing w:val="2"/>
        <w:w w:val="100"/>
        <w:sz w:val="19"/>
        <w:vertAlign w:val="baseline"/>
        <w:lang w:val="cs-CZ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hAnsi="Times New Roman" w:eastAsia="Times New Roman"/>
        <w:strike w:val="false"/>
        <w:color w:val="000000"/>
        <w:spacing w:val="0"/>
        <w:w w:val="100"/>
        <w:sz w:val="25"/>
        <w:vertAlign w:val="baseline"/>
        <w:lang w:val="cs-CZ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Times New Roman" w:hAnsi="Times New Roman" w:eastAsia="Times New Roman"/>
        <w:strike w:val="false"/>
        <w:color w:val="000000"/>
        <w:spacing w:val="2"/>
        <w:w w:val="100"/>
        <w:sz w:val="25"/>
        <w:vertAlign w:val="baseline"/>
        <w:lang w:val="cs-CZ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/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rId3" /><Relationship Type="http://schemas.openxmlformats.org/officeDocument/2006/relationships/image" Target="media/image17.png" Id="drId4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