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13" w:rsidRDefault="00144013" w:rsidP="00144013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Statutární město Jihlava</w:t>
      </w:r>
    </w:p>
    <w:p w:rsidR="00422503" w:rsidRPr="00144013" w:rsidRDefault="00422503" w:rsidP="00144013">
      <w:pPr>
        <w:shd w:val="clear" w:color="auto" w:fill="FFFFFF"/>
        <w:spacing w:before="120" w:after="0" w:line="240" w:lineRule="auto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Zastupitelstvo města Jihlavy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center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 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center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1440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Obecně závazná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1440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 xml:space="preserve">vyhláška </w:t>
      </w:r>
      <w:r w:rsidR="00FA16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č. 9/2024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center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1440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o  užívání, údržbě a ochraně zeleně na území statutárního města Jihlavy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center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 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Zastupitelstvo města Jihlavy se na svém zasedání dne </w:t>
      </w:r>
      <w:r w:rsidR="004764B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18. 6. 2024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usnesením č.</w:t>
      </w:r>
      <w:r w:rsidR="00FA798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="00FA168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640/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</w:t>
      </w:r>
      <w:r w:rsidR="004764B4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4</w:t>
      </w:r>
      <w:r w:rsidR="00FA798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noBreakHyphen/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ZM usneslo vydat na základě ustanovení § 10 písm. c) zákona č. 128/2000 Sb., o</w:t>
      </w:r>
      <w:r w:rsidR="00FA798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obcích (obecní zřízení), v platném znění, a v souladu s ustanovením § 84 odst. 2 písm. h) citovaného zákona tuto obecně závaznou vyhlášku: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center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1440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Článek 1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center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1440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Základní ustanovení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72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Účelem této obecně závazné vyhlášky (dále jen „vyhláška“) je stanovení povinností k zajištění údržby a ochrany veřejné zeleně (dále jen „zeleň“) na území statutárního města Jihlavy (dále jen „město“).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72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Cílem této vyhlášky je zajištění trvalé udržitelnosti estetických a funkčních vlastností zeleně a tím zlepšování  estetického vzhledu města.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72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3)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Zelení se pro účely této vyhlášky rozumí uliční a sídlištní zeleň, parky a jiné plochy porostlé vegetací</w:t>
      </w:r>
      <w:r w:rsidR="002E16E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přístupné každému bez omezení.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72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4)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Ustanovení této vyhlášky se nevztahují na subjekty, které mají k určité činnosti zvláštní povolení, a to v rozsahu tohoto povolení.</w:t>
      </w:r>
    </w:p>
    <w:p w:rsidR="00144013" w:rsidRPr="00144013" w:rsidRDefault="00144013" w:rsidP="00242BAC">
      <w:pPr>
        <w:shd w:val="clear" w:color="auto" w:fill="FFFFFF"/>
        <w:spacing w:before="120" w:after="0" w:line="240" w:lineRule="atLeast"/>
        <w:ind w:left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 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center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Článek 2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center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 Údržba zeleně</w:t>
      </w:r>
    </w:p>
    <w:p w:rsidR="00144013" w:rsidRPr="00144013" w:rsidRDefault="00144013" w:rsidP="00144013">
      <w:pPr>
        <w:shd w:val="clear" w:color="auto" w:fill="FFFFFF"/>
        <w:spacing w:after="0" w:line="240" w:lineRule="atLeast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72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Vlastníci zeleně na území města jsou povinni udržovat trávníky formou pravidelných sečí. Četnost sečí je minimálně 2x ročně, přičemž: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144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první seč musí být provedena do 15.</w:t>
      </w:r>
      <w:r w:rsidR="007C575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června,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144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b)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druhá a případně další seč v závislosti na vegetačních podmínkách, nejpozději však do 15.</w:t>
      </w:r>
      <w:r w:rsidR="007C575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září příslušného roku.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72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Vlastníci zeleně na území města jsou povinni zajistit odvoz posečené trávy nejpozději do tří dnů po provedení seče.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</w:p>
    <w:p w:rsidR="00144013" w:rsidRPr="00242BAC" w:rsidRDefault="00144013" w:rsidP="00242BAC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 Článek 3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center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Ochrana  zeleně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 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108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Každý je povinen počínat si tak, aby nezpůsobil znečištění či poškození zeleně.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108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lastRenderedPageBreak/>
        <w:t>2)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Na plochách zeleně je zakázáno: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180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jezdit a parkovat dopravními prostředky,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180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b)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jezdit na koních či jiných zvířatech s výjimkou míst k tomuto účelu určených a označených,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180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c)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vstupovat na květinové záhony a keřové výsadby,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180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provádět neoprávněné výsadby a jiné zásahy do zeleně, zejména bez</w:t>
      </w:r>
      <w:r w:rsidR="00FA798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souhlasu vlastníka narušovat kořenový systém dřevin,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180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odkládat nebo skladovat na zeleni jakékoliv předměty s výjimkou případů zvláštního užívání veřejného prostranství,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180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f)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rozdělávat ohně,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 výjimkou veřejných ohnišť a míst pro grilování zřízených městem</w:t>
      </w:r>
      <w:r w:rsidR="00B73778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které jsou současně znázorněny v grafické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příloze této vyhlášky</w:t>
      </w:r>
      <w:r w:rsidR="00FA168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180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g)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stanovat, nocovat a tábořit.</w:t>
      </w:r>
    </w:p>
    <w:p w:rsidR="00144013" w:rsidRPr="00242BAC" w:rsidRDefault="00144013" w:rsidP="00144013">
      <w:pPr>
        <w:shd w:val="clear" w:color="auto" w:fill="FFFFFF"/>
        <w:spacing w:before="120" w:after="0" w:line="240" w:lineRule="atLeast"/>
        <w:ind w:left="1080" w:hanging="360"/>
        <w:jc w:val="both"/>
        <w:rPr>
          <w:rFonts w:ascii="Roboto" w:eastAsia="Times New Roman" w:hAnsi="Roboto"/>
          <w:color w:val="666666"/>
          <w:sz w:val="24"/>
          <w:szCs w:val="24"/>
          <w:vertAlign w:val="superscript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3)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Ochrana dřevin je uprav</w:t>
      </w:r>
      <w:bookmarkStart w:id="0" w:name="_ftnref1"/>
      <w:r w:rsidR="00242BA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ena zvláštním právním předpisem</w:t>
      </w:r>
      <w:bookmarkEnd w:id="0"/>
      <w:r w:rsidR="00242B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cs-CZ"/>
        </w:rPr>
        <w:t>1)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108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4)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Sportovní, kulturní a jiné akce je možné na plochách zeleně pořádat pouze  se</w:t>
      </w:r>
      <w:r w:rsidR="00685671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souhlasem vlastníka zeleně a za podmínek stanovených </w:t>
      </w:r>
      <w:r w:rsidR="00B8292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příslušnou 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obecně závaznou vyhláškou </w:t>
      </w:r>
      <w:r w:rsidR="007C575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města.</w:t>
      </w:r>
    </w:p>
    <w:p w:rsidR="00144013" w:rsidRPr="00144013" w:rsidRDefault="00144013" w:rsidP="00242BAC">
      <w:pPr>
        <w:shd w:val="clear" w:color="auto" w:fill="FFFFFF"/>
        <w:spacing w:before="120" w:after="0" w:line="240" w:lineRule="atLeast"/>
        <w:jc w:val="center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  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center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Článek 4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center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Sankce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</w:p>
    <w:p w:rsidR="00144013" w:rsidRPr="00242BAC" w:rsidRDefault="00144013" w:rsidP="00144013">
      <w:pPr>
        <w:shd w:val="clear" w:color="auto" w:fill="FFFFFF"/>
        <w:spacing w:before="120" w:after="0" w:line="240" w:lineRule="atLeast"/>
        <w:ind w:left="720" w:hanging="360"/>
        <w:rPr>
          <w:rFonts w:ascii="Roboto" w:eastAsia="Times New Roman" w:hAnsi="Roboto"/>
          <w:color w:val="666666"/>
          <w:sz w:val="24"/>
          <w:szCs w:val="24"/>
          <w:vertAlign w:val="superscript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Porušení povinností stanovených touto vyhláš</w:t>
      </w:r>
      <w:r w:rsidR="00242BA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kou se postihuje jako přestupek</w:t>
      </w:r>
      <w:r w:rsidR="00242B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cs-CZ"/>
        </w:rPr>
        <w:t>2)</w:t>
      </w:r>
    </w:p>
    <w:p w:rsidR="00144013" w:rsidRPr="00242BAC" w:rsidRDefault="00144013" w:rsidP="00144013">
      <w:pPr>
        <w:shd w:val="clear" w:color="auto" w:fill="FFFFFF"/>
        <w:spacing w:before="120" w:after="0" w:line="240" w:lineRule="atLeast"/>
        <w:ind w:left="720" w:hanging="360"/>
        <w:rPr>
          <w:rFonts w:ascii="Roboto" w:eastAsia="Times New Roman" w:hAnsi="Roboto"/>
          <w:color w:val="666666"/>
          <w:sz w:val="24"/>
          <w:szCs w:val="24"/>
          <w:vertAlign w:val="superscript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Při náhradě škod  způsobených na zeleni se postupuje dle</w:t>
      </w:r>
      <w:bookmarkStart w:id="1" w:name="_ftnref4"/>
      <w:r w:rsidR="00242BA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 příslušného právního předpisu</w:t>
      </w:r>
      <w:bookmarkEnd w:id="1"/>
      <w:r w:rsidR="00242BA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cs-CZ"/>
        </w:rPr>
        <w:t>3)</w:t>
      </w:r>
    </w:p>
    <w:p w:rsidR="00144013" w:rsidRPr="00242BAC" w:rsidRDefault="00144013" w:rsidP="00242BAC">
      <w:pPr>
        <w:shd w:val="clear" w:color="auto" w:fill="FFFFFF"/>
        <w:spacing w:after="0" w:line="240" w:lineRule="auto"/>
        <w:jc w:val="both"/>
        <w:outlineLvl w:val="0"/>
        <w:rPr>
          <w:rFonts w:ascii="Roboto" w:eastAsia="Times New Roman" w:hAnsi="Roboto"/>
          <w:b/>
          <w:bCs/>
          <w:color w:val="666666"/>
          <w:kern w:val="36"/>
          <w:sz w:val="48"/>
          <w:szCs w:val="48"/>
          <w:lang w:eastAsia="cs-CZ"/>
        </w:rPr>
      </w:pPr>
      <w:r w:rsidRPr="00144013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cs-CZ"/>
        </w:rPr>
        <w:t> </w:t>
      </w:r>
      <w:r w:rsidRPr="00144013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 </w:t>
      </w:r>
    </w:p>
    <w:p w:rsidR="00144013" w:rsidRPr="00144013" w:rsidRDefault="00144013" w:rsidP="00144013">
      <w:pPr>
        <w:shd w:val="clear" w:color="auto" w:fill="FFFFFF"/>
        <w:spacing w:after="0" w:line="240" w:lineRule="auto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 </w:t>
      </w:r>
    </w:p>
    <w:p w:rsidR="00144013" w:rsidRPr="00144013" w:rsidRDefault="00144013" w:rsidP="00144013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/>
          <w:b/>
          <w:bCs/>
          <w:color w:val="666666"/>
          <w:kern w:val="36"/>
          <w:sz w:val="48"/>
          <w:szCs w:val="48"/>
          <w:lang w:eastAsia="cs-CZ"/>
        </w:rPr>
      </w:pPr>
      <w:r w:rsidRPr="00144013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cs-CZ"/>
        </w:rPr>
        <w:t>Článek 5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center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Závěrečná ustanovení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jc w:val="center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 </w:t>
      </w:r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72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Touto vyhláškou se ruší obecně závazná vyhláška č.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6/</w:t>
      </w:r>
      <w:r w:rsidR="00EC0EE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2012</w:t>
      </w:r>
      <w:r w:rsidR="00EC0EEC"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ze dne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30. 10. 2012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</w:p>
    <w:p w:rsidR="00144013" w:rsidRDefault="00144013" w:rsidP="00144013">
      <w:pPr>
        <w:shd w:val="clear" w:color="auto" w:fill="FFFFFF"/>
        <w:spacing w:before="120" w:after="0" w:line="240" w:lineRule="atLeast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2)</w:t>
      </w:r>
      <w:r w:rsidRPr="00144013">
        <w:rPr>
          <w:rFonts w:ascii="Times New Roman" w:eastAsia="Times New Roman" w:hAnsi="Times New Roman"/>
          <w:color w:val="000000"/>
          <w:sz w:val="14"/>
          <w:szCs w:val="14"/>
          <w:lang w:eastAsia="cs-CZ"/>
        </w:rPr>
        <w:t>      </w:t>
      </w: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Tato vyhláška nabývá účinnosti dnem</w:t>
      </w:r>
      <w:r w:rsidR="00242BA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15. 7. 2024.</w:t>
      </w:r>
    </w:p>
    <w:p w:rsidR="00242BAC" w:rsidRDefault="00242BAC" w:rsidP="00144013">
      <w:pPr>
        <w:shd w:val="clear" w:color="auto" w:fill="FFFFFF"/>
        <w:spacing w:before="120" w:after="0" w:line="240" w:lineRule="atLeast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242BAC" w:rsidRDefault="00242BAC" w:rsidP="00242BAC">
      <w:pPr>
        <w:shd w:val="clear" w:color="auto" w:fill="FFFFFF"/>
        <w:spacing w:before="120"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242BAC" w:rsidRPr="00144013" w:rsidRDefault="00242BAC" w:rsidP="00144013">
      <w:pPr>
        <w:shd w:val="clear" w:color="auto" w:fill="FFFFFF"/>
        <w:spacing w:before="120" w:after="0" w:line="240" w:lineRule="atLeast"/>
        <w:ind w:left="720" w:hanging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Mgr. Petr Ryška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ab/>
      </w:r>
      <w:r w:rsidR="00346E9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v.r.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ab/>
        <w:t>Ing. Richard Šedivý</w:t>
      </w:r>
      <w:r w:rsidR="00346E9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 xml:space="preserve"> v.r.</w:t>
      </w:r>
      <w:bookmarkStart w:id="2" w:name="_GoBack"/>
      <w:bookmarkEnd w:id="2"/>
    </w:p>
    <w:p w:rsidR="00144013" w:rsidRPr="00144013" w:rsidRDefault="00144013" w:rsidP="00144013">
      <w:pPr>
        <w:shd w:val="clear" w:color="auto" w:fill="FFFFFF"/>
        <w:spacing w:before="120" w:after="0" w:line="240" w:lineRule="atLeast"/>
        <w:ind w:left="360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="00242BA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    p</w:t>
      </w:r>
      <w:r w:rsidR="00242BAC"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rimátor</w:t>
      </w:r>
      <w:r w:rsidR="00242BA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="00242BA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="00242BA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="00242BA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="00242BA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  <w:t xml:space="preserve">              </w:t>
      </w:r>
      <w:r w:rsidR="00242BAC"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náměstek primátora</w:t>
      </w:r>
    </w:p>
    <w:p w:rsidR="00242BAC" w:rsidRPr="00144013" w:rsidRDefault="00144013" w:rsidP="00144013">
      <w:pPr>
        <w:shd w:val="clear" w:color="auto" w:fill="FFFFFF"/>
        <w:spacing w:before="120" w:after="0" w:line="240" w:lineRule="atLeast"/>
        <w:jc w:val="both"/>
        <w:rPr>
          <w:rFonts w:ascii="Roboto" w:eastAsia="Times New Roman" w:hAnsi="Roboto"/>
          <w:color w:val="666666"/>
          <w:sz w:val="24"/>
          <w:szCs w:val="24"/>
          <w:lang w:eastAsia="cs-CZ"/>
        </w:rPr>
      </w:pPr>
      <w:r w:rsidRPr="0014401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A7981" w:rsidRPr="00144013" w:rsidTr="00FA7981">
        <w:trPr>
          <w:trHeight w:val="25"/>
        </w:trPr>
        <w:tc>
          <w:tcPr>
            <w:tcW w:w="50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A7981" w:rsidRPr="00242BAC" w:rsidRDefault="00FA7981" w:rsidP="00242BAC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666666"/>
                <w:sz w:val="24"/>
                <w:szCs w:val="24"/>
                <w:lang w:eastAsia="cs-CZ"/>
              </w:rPr>
            </w:pPr>
            <w:r w:rsidRPr="001440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pict>
                <v:rect id="_x0000_i1025" style="width:149.7pt;height:.75pt" o:hrpct="330" o:hrstd="t" o:hrnoshade="t" o:hr="t" fillcolor="#ddd" stroked="f"/>
              </w:pict>
            </w:r>
          </w:p>
          <w:p w:rsidR="00FA7981" w:rsidRPr="00144013" w:rsidRDefault="00FA7981" w:rsidP="00242BAC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666666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</w:t>
            </w:r>
            <w:r w:rsidRPr="001440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) zákon č. 114/1992 Sb., o ochraně přírody a krajiny, ve znění pozdějších předpisů</w:t>
            </w:r>
          </w:p>
          <w:p w:rsidR="00FA7981" w:rsidRDefault="00FA7981" w:rsidP="00242BAC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666666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Pr="001440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zákon č. 250/2016 Sb., o odpovědnosti za přestupky a řízení o nich, ve znění pozdějších předpisů </w:t>
            </w:r>
            <w:bookmarkStart w:id="3" w:name="_ftn4"/>
          </w:p>
          <w:bookmarkEnd w:id="3"/>
          <w:p w:rsidR="00FA7981" w:rsidRPr="00FA7981" w:rsidRDefault="00FA7981" w:rsidP="00FA7981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666666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</w:t>
            </w:r>
            <w:r w:rsidRPr="001440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zákon č. 89/2012 Sb., občanský zákoník, ve znění pozdějších předpisů </w:t>
            </w:r>
          </w:p>
        </w:tc>
      </w:tr>
    </w:tbl>
    <w:p w:rsidR="00144013" w:rsidRDefault="00144013" w:rsidP="00144013">
      <w:pPr>
        <w:shd w:val="clear" w:color="auto" w:fill="FFFFFF"/>
        <w:spacing w:line="240" w:lineRule="auto"/>
        <w:rPr>
          <w:rFonts w:ascii="Roboto" w:eastAsia="Times New Roman" w:hAnsi="Roboto"/>
          <w:color w:val="666666"/>
          <w:sz w:val="24"/>
          <w:szCs w:val="24"/>
          <w:lang w:eastAsia="cs-CZ"/>
        </w:rPr>
      </w:pPr>
    </w:p>
    <w:p w:rsidR="00346E93" w:rsidRPr="00144013" w:rsidRDefault="00346E93" w:rsidP="00144013">
      <w:pPr>
        <w:shd w:val="clear" w:color="auto" w:fill="FFFFFF"/>
        <w:spacing w:line="240" w:lineRule="auto"/>
        <w:rPr>
          <w:rFonts w:ascii="Roboto" w:eastAsia="Times New Roman" w:hAnsi="Roboto"/>
          <w:vanish/>
          <w:color w:val="666666"/>
          <w:sz w:val="24"/>
          <w:szCs w:val="24"/>
          <w:lang w:eastAsia="cs-CZ"/>
        </w:rPr>
      </w:pPr>
    </w:p>
    <w:p w:rsidR="00144013" w:rsidRPr="00FD67ED" w:rsidRDefault="00144013" w:rsidP="00242BAC">
      <w:pPr>
        <w:shd w:val="clear" w:color="auto" w:fill="FFFFFF"/>
        <w:spacing w:after="0" w:line="240" w:lineRule="auto"/>
      </w:pPr>
      <w:r>
        <w:t>Příloha</w:t>
      </w:r>
      <w:r w:rsidR="00FD67ED">
        <w:t xml:space="preserve"> obecně závazné vyhlášky č. 9/2024</w:t>
      </w:r>
      <w:r>
        <w:t xml:space="preserve"> </w:t>
      </w:r>
    </w:p>
    <w:p w:rsidR="00EC0EEC" w:rsidRDefault="00D166AD" w:rsidP="00EC0EEC">
      <w:pPr>
        <w:pStyle w:val="Bezmezer"/>
        <w:rPr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60720" cy="4099560"/>
            <wp:effectExtent l="0" t="0" r="0" b="0"/>
            <wp:docPr id="2" name="obrázek 2" descr="9_2024 užívání zeleně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_2024 užívání zeleně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B4" w:rsidRDefault="004764B4" w:rsidP="00EC0EEC">
      <w:pPr>
        <w:pStyle w:val="Bezmezer"/>
        <w:rPr>
          <w:noProof/>
          <w:lang w:eastAsia="cs-CZ"/>
        </w:rPr>
      </w:pPr>
      <w:r>
        <w:rPr>
          <w:noProof/>
          <w:lang w:eastAsia="cs-CZ"/>
        </w:rPr>
        <w:t>Grilov</w:t>
      </w:r>
      <w:r w:rsidR="008D7420">
        <w:rPr>
          <w:noProof/>
          <w:lang w:eastAsia="cs-CZ"/>
        </w:rPr>
        <w:t>ání</w:t>
      </w:r>
      <w:r>
        <w:rPr>
          <w:noProof/>
          <w:lang w:eastAsia="cs-CZ"/>
        </w:rPr>
        <w:t xml:space="preserve"> Skal</w:t>
      </w:r>
      <w:r w:rsidR="008D7420">
        <w:rPr>
          <w:noProof/>
          <w:lang w:eastAsia="cs-CZ"/>
        </w:rPr>
        <w:t>ka</w:t>
      </w:r>
    </w:p>
    <w:p w:rsidR="00EC0EEC" w:rsidRDefault="00EC0EEC" w:rsidP="00EC0EEC">
      <w:pPr>
        <w:pStyle w:val="Bezmezer"/>
        <w:rPr>
          <w:noProof/>
          <w:lang w:eastAsia="cs-CZ"/>
        </w:rPr>
      </w:pPr>
    </w:p>
    <w:p w:rsidR="00EC0EEC" w:rsidRDefault="00D166AD" w:rsidP="00EC0EEC">
      <w:pPr>
        <w:pStyle w:val="Bezmezer"/>
        <w:rPr>
          <w:sz w:val="24"/>
          <w:szCs w:val="24"/>
          <w:lang w:eastAsia="cs-CZ"/>
        </w:rPr>
      </w:pPr>
      <w:r w:rsidRPr="009A53BF">
        <w:rPr>
          <w:noProof/>
          <w:lang w:eastAsia="cs-CZ"/>
        </w:rPr>
        <w:drawing>
          <wp:inline distT="0" distB="0" distL="0" distR="0">
            <wp:extent cx="5829300" cy="4023360"/>
            <wp:effectExtent l="0" t="0" r="0" b="0"/>
            <wp:docPr id="3" name="obrázek 3" descr="C:\Users\ruschkova.katarina\AppData\Local\Packages\Microsoft.Windows.Photos_8wekyb3d8bbwe\TempState\ShareServiceTempFolder\Plovka (00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ruschkova.katarina\AppData\Local\Packages\Microsoft.Windows.Photos_8wekyb3d8bbwe\TempState\ShareServiceTempFolder\Plovka (00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B4" w:rsidRDefault="008D7420" w:rsidP="00EC0EEC">
      <w:pPr>
        <w:pStyle w:val="Bezmezer"/>
      </w:pPr>
      <w:r>
        <w:rPr>
          <w:noProof/>
          <w:lang w:eastAsia="cs-CZ"/>
        </w:rPr>
        <w:t>Veřejná ohniště Stará plovárna</w:t>
      </w:r>
    </w:p>
    <w:sectPr w:rsidR="00476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F2B" w:rsidRDefault="00091F2B" w:rsidP="00E211CC">
      <w:pPr>
        <w:spacing w:after="0" w:line="240" w:lineRule="auto"/>
      </w:pPr>
      <w:r>
        <w:separator/>
      </w:r>
    </w:p>
  </w:endnote>
  <w:endnote w:type="continuationSeparator" w:id="0">
    <w:p w:rsidR="00091F2B" w:rsidRDefault="00091F2B" w:rsidP="00E2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F2B" w:rsidRDefault="00091F2B" w:rsidP="00E211CC">
      <w:pPr>
        <w:spacing w:after="0" w:line="240" w:lineRule="auto"/>
      </w:pPr>
      <w:r>
        <w:separator/>
      </w:r>
    </w:p>
  </w:footnote>
  <w:footnote w:type="continuationSeparator" w:id="0">
    <w:p w:rsidR="00091F2B" w:rsidRDefault="00091F2B" w:rsidP="00E21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13"/>
    <w:rsid w:val="000123C0"/>
    <w:rsid w:val="00091F2B"/>
    <w:rsid w:val="00112498"/>
    <w:rsid w:val="001250E8"/>
    <w:rsid w:val="00127F54"/>
    <w:rsid w:val="00144013"/>
    <w:rsid w:val="001561B7"/>
    <w:rsid w:val="00172DB4"/>
    <w:rsid w:val="00183302"/>
    <w:rsid w:val="00242BAC"/>
    <w:rsid w:val="002505C3"/>
    <w:rsid w:val="002E16EB"/>
    <w:rsid w:val="00346E93"/>
    <w:rsid w:val="00365AC8"/>
    <w:rsid w:val="00422503"/>
    <w:rsid w:val="00445C06"/>
    <w:rsid w:val="004764B4"/>
    <w:rsid w:val="004E7B5B"/>
    <w:rsid w:val="00521137"/>
    <w:rsid w:val="0054499C"/>
    <w:rsid w:val="00581ED5"/>
    <w:rsid w:val="006302C0"/>
    <w:rsid w:val="00685671"/>
    <w:rsid w:val="00713F72"/>
    <w:rsid w:val="007664A9"/>
    <w:rsid w:val="007C575B"/>
    <w:rsid w:val="007F23F5"/>
    <w:rsid w:val="0087209D"/>
    <w:rsid w:val="008D7420"/>
    <w:rsid w:val="008E6CD6"/>
    <w:rsid w:val="0093044B"/>
    <w:rsid w:val="009A5C3F"/>
    <w:rsid w:val="00A20393"/>
    <w:rsid w:val="00A226BB"/>
    <w:rsid w:val="00A67C2D"/>
    <w:rsid w:val="00B034D7"/>
    <w:rsid w:val="00B73778"/>
    <w:rsid w:val="00B82923"/>
    <w:rsid w:val="00CC093B"/>
    <w:rsid w:val="00CC7A14"/>
    <w:rsid w:val="00D166AD"/>
    <w:rsid w:val="00D6074D"/>
    <w:rsid w:val="00DA4321"/>
    <w:rsid w:val="00E211CC"/>
    <w:rsid w:val="00E54A8D"/>
    <w:rsid w:val="00E600A2"/>
    <w:rsid w:val="00E62C2A"/>
    <w:rsid w:val="00EC0EEC"/>
    <w:rsid w:val="00ED13B7"/>
    <w:rsid w:val="00F67C65"/>
    <w:rsid w:val="00FA168B"/>
    <w:rsid w:val="00FA7981"/>
    <w:rsid w:val="00FD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59ECA7"/>
  <w15:chartTrackingRefBased/>
  <w15:docId w15:val="{60821633-FFEA-4F27-945E-35B61290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44013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unhideWhenUsed/>
    <w:rsid w:val="004764B4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A226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6B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226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6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226BB"/>
    <w:rPr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11C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211CC"/>
    <w:rPr>
      <w:lang w:eastAsia="en-US"/>
    </w:rPr>
  </w:style>
  <w:style w:type="character" w:styleId="Znakapoznpodarou">
    <w:name w:val="footnote reference"/>
    <w:uiPriority w:val="99"/>
    <w:semiHidden/>
    <w:unhideWhenUsed/>
    <w:rsid w:val="00E211CC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EC0E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C0EEC"/>
    <w:rPr>
      <w:sz w:val="22"/>
      <w:szCs w:val="22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8D74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80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4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0915B-19B9-4C75-9EF1-B7404A71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RUSCHKOVÁ Katarina Ing.</dc:creator>
  <cp:keywords/>
  <cp:lastModifiedBy>HROMADOVÁ Věra JUDr.</cp:lastModifiedBy>
  <cp:revision>3</cp:revision>
  <cp:lastPrinted>2024-06-24T09:52:00Z</cp:lastPrinted>
  <dcterms:created xsi:type="dcterms:W3CDTF">2024-08-02T07:41:00Z</dcterms:created>
  <dcterms:modified xsi:type="dcterms:W3CDTF">2024-08-02T07:43:00Z</dcterms:modified>
</cp:coreProperties>
</file>