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15B" w:rsidRPr="00F43CEF" w:rsidRDefault="004A415B" w:rsidP="00F43CEF">
      <w:pPr>
        <w:tabs>
          <w:tab w:val="left" w:pos="3544"/>
        </w:tabs>
        <w:spacing w:after="120"/>
        <w:jc w:val="center"/>
        <w:rPr>
          <w:rFonts w:ascii="Arial" w:hAnsi="Arial" w:cs="Arial"/>
          <w:b/>
          <w:bCs/>
        </w:rPr>
      </w:pPr>
      <w:r w:rsidRPr="00F43CEF">
        <w:rPr>
          <w:rFonts w:ascii="Arial" w:hAnsi="Arial" w:cs="Arial"/>
          <w:b/>
          <w:bCs/>
        </w:rPr>
        <w:t>OBEC MALÁ SKÁLA</w:t>
      </w:r>
    </w:p>
    <w:p w:rsidR="004A415B" w:rsidRPr="00F43CEF" w:rsidRDefault="00E47788" w:rsidP="00F43CEF">
      <w:pPr>
        <w:tabs>
          <w:tab w:val="left" w:pos="3544"/>
        </w:tabs>
        <w:spacing w:after="120"/>
        <w:contextualSpacing/>
        <w:jc w:val="center"/>
        <w:rPr>
          <w:rFonts w:ascii="Arial" w:hAnsi="Arial" w:cs="Arial"/>
          <w:b/>
          <w:bCs/>
        </w:rPr>
      </w:pPr>
      <w:r w:rsidRPr="00F43CEF">
        <w:rPr>
          <w:rFonts w:ascii="Arial" w:hAnsi="Arial" w:cs="Arial"/>
          <w:b/>
          <w:bCs/>
        </w:rPr>
        <w:t>ZASTUPITELSTVO OBCE MALÁ SKÁLA</w:t>
      </w:r>
    </w:p>
    <w:p w:rsidR="004A415B" w:rsidRPr="00F43CEF" w:rsidRDefault="004A415B" w:rsidP="00F43CEF">
      <w:pPr>
        <w:tabs>
          <w:tab w:val="left" w:pos="3544"/>
        </w:tabs>
        <w:spacing w:after="120"/>
        <w:contextualSpacing/>
        <w:jc w:val="center"/>
        <w:rPr>
          <w:rFonts w:ascii="Arial" w:hAnsi="Arial" w:cs="Arial"/>
          <w:b/>
          <w:bCs/>
        </w:rPr>
      </w:pPr>
    </w:p>
    <w:p w:rsidR="004A415B" w:rsidRPr="00F43CEF" w:rsidRDefault="004A415B" w:rsidP="00F43CEF">
      <w:pPr>
        <w:jc w:val="center"/>
        <w:rPr>
          <w:rFonts w:ascii="Arial" w:hAnsi="Arial" w:cs="Arial"/>
          <w:b/>
          <w:bCs/>
        </w:rPr>
      </w:pPr>
      <w:r w:rsidRPr="00F43CEF">
        <w:rPr>
          <w:rFonts w:ascii="Arial" w:hAnsi="Arial" w:cs="Arial"/>
          <w:b/>
          <w:bCs/>
        </w:rPr>
        <w:t xml:space="preserve">Obecně závazná vyhláška </w:t>
      </w:r>
      <w:r w:rsidRPr="0068594F">
        <w:rPr>
          <w:rFonts w:ascii="Arial" w:hAnsi="Arial" w:cs="Arial"/>
          <w:b/>
          <w:bCs/>
        </w:rPr>
        <w:t>č. 2/2015</w:t>
      </w:r>
      <w:r w:rsidRPr="00F43CEF">
        <w:rPr>
          <w:rFonts w:ascii="Arial" w:hAnsi="Arial" w:cs="Arial"/>
          <w:b/>
          <w:bCs/>
        </w:rPr>
        <w:t>,</w:t>
      </w:r>
    </w:p>
    <w:p w:rsidR="004A415B" w:rsidRPr="00F43CEF" w:rsidRDefault="004A415B" w:rsidP="00F43CEF">
      <w:pPr>
        <w:spacing w:after="120"/>
        <w:jc w:val="center"/>
        <w:rPr>
          <w:rFonts w:ascii="Arial" w:hAnsi="Arial" w:cs="Arial"/>
          <w:b/>
          <w:bCs/>
        </w:rPr>
      </w:pPr>
      <w:r w:rsidRPr="00F43CEF">
        <w:rPr>
          <w:rFonts w:ascii="Arial" w:hAnsi="Arial" w:cs="Arial"/>
          <w:b/>
          <w:bCs/>
        </w:rPr>
        <w:t>o stanovení koeficientu pro výpočet daně z nemovitých věcí</w:t>
      </w:r>
    </w:p>
    <w:p w:rsidR="004A415B" w:rsidRPr="00F43CEF" w:rsidRDefault="004A415B" w:rsidP="00F43CEF">
      <w:pPr>
        <w:pStyle w:val="Zkladntextodsazen21"/>
        <w:spacing w:line="240" w:lineRule="auto"/>
        <w:ind w:left="284"/>
        <w:jc w:val="both"/>
        <w:rPr>
          <w:rFonts w:ascii="Arial" w:hAnsi="Arial" w:cs="Arial"/>
        </w:rPr>
      </w:pPr>
      <w:r w:rsidRPr="00F43CEF">
        <w:rPr>
          <w:rFonts w:ascii="Arial" w:hAnsi="Arial" w:cs="Arial"/>
        </w:rPr>
        <w:t xml:space="preserve">Zastupitelstvo obce Malá Skála se na svém zasedání dne </w:t>
      </w:r>
      <w:r w:rsidRPr="0068594F">
        <w:rPr>
          <w:rFonts w:ascii="Arial" w:hAnsi="Arial" w:cs="Arial"/>
        </w:rPr>
        <w:t>1. září 2015</w:t>
      </w:r>
      <w:r w:rsidRPr="00F43CEF">
        <w:rPr>
          <w:rFonts w:ascii="Arial" w:hAnsi="Arial" w:cs="Arial"/>
        </w:rPr>
        <w:t xml:space="preserve"> usnesením č. </w:t>
      </w:r>
      <w:r w:rsidRPr="0068594F">
        <w:rPr>
          <w:rFonts w:ascii="Arial" w:hAnsi="Arial" w:cs="Arial"/>
        </w:rPr>
        <w:t>15-09-01/ZO/</w:t>
      </w:r>
      <w:r w:rsidR="0068594F" w:rsidRPr="0068594F">
        <w:rPr>
          <w:rFonts w:ascii="Arial" w:hAnsi="Arial" w:cs="Arial"/>
        </w:rPr>
        <w:t>123</w:t>
      </w:r>
      <w:r w:rsidRPr="00F43CEF">
        <w:rPr>
          <w:rFonts w:ascii="Arial" w:hAnsi="Arial" w:cs="Arial"/>
          <w:color w:val="FF0000"/>
        </w:rPr>
        <w:t xml:space="preserve"> </w:t>
      </w:r>
      <w:r w:rsidRPr="00F43CEF">
        <w:rPr>
          <w:rFonts w:ascii="Arial" w:hAnsi="Arial" w:cs="Arial"/>
        </w:rPr>
        <w:t xml:space="preserve">usneslo vydat na základě </w:t>
      </w:r>
      <w:r w:rsidR="00E47788">
        <w:rPr>
          <w:rFonts w:ascii="Arial" w:hAnsi="Arial" w:cs="Arial"/>
        </w:rPr>
        <w:t>§ 11 odst. 3 písm. b) zákona č. </w:t>
      </w:r>
      <w:r w:rsidRPr="00F43CEF">
        <w:rPr>
          <w:rFonts w:ascii="Arial" w:hAnsi="Arial" w:cs="Arial"/>
        </w:rPr>
        <w:t xml:space="preserve">338/1992 Sb., o dani z nemovitých věcí, ve znění pozdějších předpisů (dále jen „zákon o dani z nemovitých věcí“) a § 84 odst. 2 písm. h) zákona č. 128/2000 Sb., o obcích (obecní zřízení), ve znění pozdějších předpisů, tuto obecně závaznou vyhlášku: </w:t>
      </w:r>
    </w:p>
    <w:p w:rsidR="004A415B" w:rsidRPr="00F43CEF" w:rsidRDefault="004A415B" w:rsidP="00F43CEF">
      <w:pPr>
        <w:spacing w:after="120"/>
        <w:rPr>
          <w:rFonts w:ascii="Arial" w:hAnsi="Arial" w:cs="Arial"/>
          <w:b/>
        </w:rPr>
      </w:pPr>
    </w:p>
    <w:p w:rsidR="004A415B" w:rsidRPr="00F43CEF" w:rsidRDefault="004A415B" w:rsidP="00F43CEF">
      <w:pPr>
        <w:jc w:val="center"/>
        <w:rPr>
          <w:rFonts w:ascii="Arial" w:hAnsi="Arial" w:cs="Arial"/>
          <w:b/>
        </w:rPr>
      </w:pPr>
      <w:r w:rsidRPr="00F43CEF">
        <w:rPr>
          <w:rFonts w:ascii="Arial" w:hAnsi="Arial" w:cs="Arial"/>
          <w:b/>
        </w:rPr>
        <w:t>Čl. 1</w:t>
      </w:r>
    </w:p>
    <w:p w:rsidR="004A415B" w:rsidRPr="00F43CEF" w:rsidRDefault="004A415B" w:rsidP="00F43CEF">
      <w:pPr>
        <w:spacing w:after="120"/>
        <w:jc w:val="center"/>
        <w:rPr>
          <w:rFonts w:ascii="Arial" w:hAnsi="Arial" w:cs="Arial"/>
          <w:b/>
        </w:rPr>
      </w:pPr>
      <w:r w:rsidRPr="00F43CEF">
        <w:rPr>
          <w:rFonts w:ascii="Arial" w:hAnsi="Arial" w:cs="Arial"/>
          <w:b/>
        </w:rPr>
        <w:t>Zdanitelné stavby a zdanitelné jednotky</w:t>
      </w:r>
    </w:p>
    <w:p w:rsidR="004A415B" w:rsidRPr="00F43CEF" w:rsidRDefault="004A415B" w:rsidP="00F43CEF">
      <w:pPr>
        <w:pStyle w:val="Zkladntext"/>
        <w:jc w:val="both"/>
        <w:rPr>
          <w:rFonts w:ascii="Arial" w:hAnsi="Arial" w:cs="Arial"/>
          <w:szCs w:val="24"/>
        </w:rPr>
      </w:pPr>
      <w:r w:rsidRPr="00F43CEF">
        <w:rPr>
          <w:rFonts w:ascii="Arial" w:hAnsi="Arial" w:cs="Arial"/>
          <w:szCs w:val="24"/>
        </w:rPr>
        <w:t xml:space="preserve">U zdanitelných staveb a zdanitelných jednotek </w:t>
      </w:r>
      <w:r w:rsidRPr="00F43CEF">
        <w:rPr>
          <w:rFonts w:ascii="Arial" w:hAnsi="Arial" w:cs="Arial"/>
          <w:iCs/>
          <w:szCs w:val="24"/>
        </w:rPr>
        <w:t>uvedených v § 11 odst. 1 písm. b) a</w:t>
      </w:r>
      <w:r w:rsidR="00F43CEF">
        <w:rPr>
          <w:rFonts w:ascii="Arial" w:hAnsi="Arial" w:cs="Arial"/>
          <w:iCs/>
          <w:szCs w:val="24"/>
        </w:rPr>
        <w:t> </w:t>
      </w:r>
      <w:r w:rsidRPr="00F43CEF">
        <w:rPr>
          <w:rFonts w:ascii="Arial" w:hAnsi="Arial" w:cs="Arial"/>
          <w:iCs/>
          <w:szCs w:val="24"/>
        </w:rPr>
        <w:t xml:space="preserve">písm. c) zákona o dani z nemovitých věcí </w:t>
      </w:r>
      <w:r w:rsidRPr="00F43CEF">
        <w:rPr>
          <w:rFonts w:ascii="Arial" w:hAnsi="Arial" w:cs="Arial"/>
          <w:szCs w:val="24"/>
        </w:rPr>
        <w:t xml:space="preserve">se stanovuje koeficient, kterým se násobí základní sazba daně, případně sazba daně zvýšená podle § 11 odst. 2 zákona </w:t>
      </w:r>
      <w:r w:rsidR="00F43CEF">
        <w:rPr>
          <w:rFonts w:ascii="Arial" w:hAnsi="Arial" w:cs="Arial"/>
          <w:szCs w:val="24"/>
        </w:rPr>
        <w:t>o </w:t>
      </w:r>
      <w:r w:rsidRPr="00F43CEF">
        <w:rPr>
          <w:rFonts w:ascii="Arial" w:hAnsi="Arial" w:cs="Arial"/>
          <w:szCs w:val="24"/>
        </w:rPr>
        <w:t xml:space="preserve">dani z nemovitých věcí, ve výši </w:t>
      </w:r>
      <w:r w:rsidRPr="0068594F">
        <w:rPr>
          <w:rFonts w:ascii="Arial" w:hAnsi="Arial" w:cs="Arial"/>
          <w:szCs w:val="24"/>
        </w:rPr>
        <w:t>1,5</w:t>
      </w:r>
      <w:r w:rsidRPr="00F43CEF">
        <w:rPr>
          <w:rFonts w:ascii="Arial" w:hAnsi="Arial" w:cs="Arial"/>
          <w:szCs w:val="24"/>
        </w:rPr>
        <w:t>.</w:t>
      </w:r>
    </w:p>
    <w:p w:rsidR="004A415B" w:rsidRPr="00F43CEF" w:rsidRDefault="004A415B" w:rsidP="00F43CEF">
      <w:pPr>
        <w:pStyle w:val="Zkladntext"/>
        <w:ind w:firstLine="708"/>
        <w:rPr>
          <w:rFonts w:ascii="Arial" w:hAnsi="Arial" w:cs="Arial"/>
          <w:szCs w:val="24"/>
        </w:rPr>
      </w:pPr>
    </w:p>
    <w:p w:rsidR="004A415B" w:rsidRPr="00F43CEF" w:rsidRDefault="004A415B" w:rsidP="00F43CEF">
      <w:pPr>
        <w:jc w:val="center"/>
        <w:rPr>
          <w:rFonts w:ascii="Arial" w:hAnsi="Arial" w:cs="Arial"/>
          <w:b/>
        </w:rPr>
      </w:pPr>
      <w:r w:rsidRPr="00F43CEF">
        <w:rPr>
          <w:rFonts w:ascii="Arial" w:hAnsi="Arial" w:cs="Arial"/>
          <w:b/>
        </w:rPr>
        <w:t>Čl. 2</w:t>
      </w:r>
    </w:p>
    <w:p w:rsidR="004A415B" w:rsidRPr="00F43CEF" w:rsidRDefault="004A415B" w:rsidP="00F43CEF">
      <w:pPr>
        <w:spacing w:after="120"/>
        <w:jc w:val="center"/>
        <w:rPr>
          <w:rFonts w:ascii="Arial" w:hAnsi="Arial" w:cs="Arial"/>
          <w:b/>
        </w:rPr>
      </w:pPr>
      <w:r w:rsidRPr="00F43CEF">
        <w:rPr>
          <w:rFonts w:ascii="Arial" w:hAnsi="Arial" w:cs="Arial"/>
          <w:b/>
        </w:rPr>
        <w:t>Účinnost</w:t>
      </w:r>
    </w:p>
    <w:p w:rsidR="004A415B" w:rsidRDefault="004A415B" w:rsidP="00F43CEF">
      <w:pPr>
        <w:spacing w:after="120"/>
        <w:rPr>
          <w:rFonts w:ascii="Arial" w:hAnsi="Arial" w:cs="Arial"/>
        </w:rPr>
      </w:pPr>
      <w:r w:rsidRPr="00F43CEF">
        <w:rPr>
          <w:rFonts w:ascii="Arial" w:hAnsi="Arial" w:cs="Arial"/>
        </w:rPr>
        <w:t xml:space="preserve">Tato obecně závazná vyhláška nabývá účinnosti dnem 1. ledna 2016. </w:t>
      </w:r>
    </w:p>
    <w:p w:rsidR="00F43CEF" w:rsidRDefault="00F43CEF" w:rsidP="00F43CEF">
      <w:pPr>
        <w:spacing w:after="120"/>
        <w:rPr>
          <w:rFonts w:ascii="Arial" w:hAnsi="Arial" w:cs="Arial"/>
        </w:rPr>
      </w:pPr>
    </w:p>
    <w:p w:rsidR="00E47788" w:rsidRDefault="00E47788" w:rsidP="00F43CEF">
      <w:pPr>
        <w:spacing w:after="120"/>
        <w:rPr>
          <w:rFonts w:ascii="Arial" w:hAnsi="Arial" w:cs="Arial"/>
        </w:rPr>
      </w:pPr>
    </w:p>
    <w:p w:rsidR="00F43CEF" w:rsidRPr="00F43CEF" w:rsidRDefault="00F43CEF" w:rsidP="00F43CEF">
      <w:pPr>
        <w:spacing w:after="120"/>
        <w:rPr>
          <w:rFonts w:ascii="Arial" w:hAnsi="Arial" w:cs="Arial"/>
        </w:rPr>
      </w:pPr>
    </w:p>
    <w:p w:rsidR="004A415B" w:rsidRPr="00F43CEF" w:rsidRDefault="004A415B" w:rsidP="00F43CEF">
      <w:pPr>
        <w:spacing w:after="120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4A415B" w:rsidRPr="00F43CEF" w:rsidTr="00796B2E">
        <w:tc>
          <w:tcPr>
            <w:tcW w:w="4605" w:type="dxa"/>
          </w:tcPr>
          <w:p w:rsidR="004A415B" w:rsidRPr="00F43CEF" w:rsidRDefault="004A415B" w:rsidP="00F43CEF">
            <w:pPr>
              <w:tabs>
                <w:tab w:val="left" w:pos="1080"/>
                <w:tab w:val="left" w:pos="7020"/>
              </w:tabs>
              <w:suppressAutoHyphens/>
              <w:spacing w:after="12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F43CEF">
              <w:rPr>
                <w:rFonts w:ascii="Arial" w:hAnsi="Arial" w:cs="Arial"/>
                <w:sz w:val="24"/>
                <w:szCs w:val="24"/>
                <w:lang w:eastAsia="ar-SA"/>
              </w:rPr>
              <w:t>………………………………..</w:t>
            </w:r>
          </w:p>
        </w:tc>
        <w:tc>
          <w:tcPr>
            <w:tcW w:w="4606" w:type="dxa"/>
          </w:tcPr>
          <w:p w:rsidR="004A415B" w:rsidRPr="00F43CEF" w:rsidRDefault="004A415B" w:rsidP="00F43CEF">
            <w:pPr>
              <w:tabs>
                <w:tab w:val="left" w:pos="1080"/>
                <w:tab w:val="left" w:pos="7020"/>
              </w:tabs>
              <w:suppressAutoHyphens/>
              <w:spacing w:after="12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F43CEF">
              <w:rPr>
                <w:rFonts w:ascii="Arial" w:hAnsi="Arial" w:cs="Arial"/>
                <w:sz w:val="24"/>
                <w:szCs w:val="24"/>
                <w:lang w:eastAsia="ar-SA"/>
              </w:rPr>
              <w:t>…………………………………</w:t>
            </w:r>
          </w:p>
        </w:tc>
      </w:tr>
      <w:tr w:rsidR="004A415B" w:rsidRPr="00F43CEF" w:rsidTr="00796B2E">
        <w:tc>
          <w:tcPr>
            <w:tcW w:w="4605" w:type="dxa"/>
          </w:tcPr>
          <w:p w:rsidR="004A415B" w:rsidRPr="00F43CEF" w:rsidRDefault="004A415B" w:rsidP="00F43CEF">
            <w:pPr>
              <w:tabs>
                <w:tab w:val="left" w:pos="1080"/>
                <w:tab w:val="left" w:pos="7020"/>
              </w:tabs>
              <w:suppressAutoHyphens/>
              <w:spacing w:after="12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F43CEF">
              <w:rPr>
                <w:rFonts w:ascii="Arial" w:hAnsi="Arial" w:cs="Arial"/>
                <w:sz w:val="24"/>
                <w:szCs w:val="24"/>
                <w:lang w:eastAsia="ar-SA"/>
              </w:rPr>
              <w:t>Petr Votrubec</w:t>
            </w:r>
            <w:r w:rsidR="00BA2BB0">
              <w:rPr>
                <w:rFonts w:ascii="Arial" w:hAnsi="Arial" w:cs="Arial"/>
                <w:sz w:val="24"/>
                <w:szCs w:val="24"/>
                <w:lang w:eastAsia="ar-SA"/>
              </w:rPr>
              <w:t xml:space="preserve">, </w:t>
            </w:r>
            <w:proofErr w:type="gramStart"/>
            <w:r w:rsidR="00BA2BB0">
              <w:rPr>
                <w:rFonts w:ascii="Arial" w:hAnsi="Arial" w:cs="Arial"/>
                <w:sz w:val="24"/>
                <w:szCs w:val="24"/>
                <w:lang w:eastAsia="ar-SA"/>
              </w:rPr>
              <w:t>v.r.</w:t>
            </w:r>
            <w:proofErr w:type="gramEnd"/>
          </w:p>
          <w:p w:rsidR="004A415B" w:rsidRPr="00F43CEF" w:rsidRDefault="004A415B" w:rsidP="00F43CEF">
            <w:pPr>
              <w:tabs>
                <w:tab w:val="left" w:pos="1080"/>
                <w:tab w:val="left" w:pos="7020"/>
              </w:tabs>
              <w:suppressAutoHyphens/>
              <w:spacing w:after="12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F43CEF">
              <w:rPr>
                <w:rFonts w:ascii="Arial" w:hAnsi="Arial" w:cs="Arial"/>
                <w:sz w:val="24"/>
                <w:szCs w:val="24"/>
                <w:lang w:eastAsia="ar-SA"/>
              </w:rPr>
              <w:t>místostarosta</w:t>
            </w:r>
          </w:p>
        </w:tc>
        <w:tc>
          <w:tcPr>
            <w:tcW w:w="4606" w:type="dxa"/>
          </w:tcPr>
          <w:p w:rsidR="004A415B" w:rsidRPr="00F43CEF" w:rsidRDefault="004A415B" w:rsidP="00F43CEF">
            <w:pPr>
              <w:tabs>
                <w:tab w:val="left" w:pos="1080"/>
                <w:tab w:val="left" w:pos="7020"/>
              </w:tabs>
              <w:suppressAutoHyphens/>
              <w:spacing w:after="12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F43CEF">
              <w:rPr>
                <w:rFonts w:ascii="Arial" w:hAnsi="Arial" w:cs="Arial"/>
                <w:sz w:val="24"/>
                <w:szCs w:val="24"/>
                <w:lang w:eastAsia="ar-SA"/>
              </w:rPr>
              <w:t>Michal Rezler</w:t>
            </w:r>
            <w:r w:rsidR="00BA2BB0">
              <w:rPr>
                <w:rFonts w:ascii="Arial" w:hAnsi="Arial" w:cs="Arial"/>
                <w:sz w:val="24"/>
                <w:szCs w:val="24"/>
                <w:lang w:eastAsia="ar-SA"/>
              </w:rPr>
              <w:t xml:space="preserve">, </w:t>
            </w:r>
            <w:proofErr w:type="gramStart"/>
            <w:r w:rsidR="00BA2BB0">
              <w:rPr>
                <w:rFonts w:ascii="Arial" w:hAnsi="Arial" w:cs="Arial"/>
                <w:sz w:val="24"/>
                <w:szCs w:val="24"/>
                <w:lang w:eastAsia="ar-SA"/>
              </w:rPr>
              <w:t>v.r.</w:t>
            </w:r>
            <w:proofErr w:type="gramEnd"/>
          </w:p>
          <w:p w:rsidR="004A415B" w:rsidRPr="00F43CEF" w:rsidRDefault="004A415B" w:rsidP="00F43CEF">
            <w:pPr>
              <w:tabs>
                <w:tab w:val="left" w:pos="1080"/>
                <w:tab w:val="left" w:pos="7020"/>
              </w:tabs>
              <w:suppressAutoHyphens/>
              <w:spacing w:after="12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F43CEF">
              <w:rPr>
                <w:rFonts w:ascii="Arial" w:hAnsi="Arial" w:cs="Arial"/>
                <w:sz w:val="24"/>
                <w:szCs w:val="24"/>
                <w:lang w:eastAsia="ar-SA"/>
              </w:rPr>
              <w:t>starosta</w:t>
            </w:r>
          </w:p>
        </w:tc>
      </w:tr>
    </w:tbl>
    <w:p w:rsidR="004A415B" w:rsidRPr="00F43CEF" w:rsidRDefault="004A415B" w:rsidP="00F43CEF">
      <w:pPr>
        <w:spacing w:after="120"/>
        <w:rPr>
          <w:rFonts w:ascii="Arial" w:hAnsi="Arial" w:cs="Arial"/>
        </w:rPr>
      </w:pPr>
      <w:r w:rsidRPr="00F43CEF">
        <w:rPr>
          <w:rFonts w:ascii="Arial" w:hAnsi="Arial" w:cs="Arial"/>
        </w:rPr>
        <w:t xml:space="preserve"> </w:t>
      </w:r>
    </w:p>
    <w:p w:rsidR="004A415B" w:rsidRPr="00F43CEF" w:rsidRDefault="004A415B" w:rsidP="00F43CEF">
      <w:pPr>
        <w:tabs>
          <w:tab w:val="center" w:pos="1620"/>
          <w:tab w:val="center" w:pos="7740"/>
        </w:tabs>
        <w:autoSpaceDE w:val="0"/>
        <w:spacing w:after="120"/>
        <w:rPr>
          <w:rFonts w:ascii="Arial" w:hAnsi="Arial" w:cs="Arial"/>
          <w:color w:val="FF0000"/>
        </w:rPr>
      </w:pPr>
      <w:r w:rsidRPr="00F43CEF">
        <w:rPr>
          <w:rFonts w:ascii="Arial" w:hAnsi="Arial" w:cs="Arial"/>
        </w:rPr>
        <w:tab/>
      </w:r>
    </w:p>
    <w:p w:rsidR="004A415B" w:rsidRPr="00F43CEF" w:rsidRDefault="004A415B" w:rsidP="00F43CEF">
      <w:pPr>
        <w:spacing w:after="120"/>
        <w:jc w:val="both"/>
        <w:rPr>
          <w:rFonts w:ascii="Arial" w:hAnsi="Arial" w:cs="Arial"/>
        </w:rPr>
      </w:pPr>
    </w:p>
    <w:p w:rsidR="004A415B" w:rsidRPr="00F43CEF" w:rsidRDefault="004A415B" w:rsidP="00F43CEF">
      <w:pPr>
        <w:spacing w:after="120"/>
        <w:jc w:val="both"/>
        <w:rPr>
          <w:rFonts w:ascii="Arial" w:hAnsi="Arial" w:cs="Arial"/>
        </w:rPr>
      </w:pPr>
    </w:p>
    <w:p w:rsidR="004A415B" w:rsidRPr="00F43CEF" w:rsidRDefault="004A415B" w:rsidP="00E47788">
      <w:pPr>
        <w:rPr>
          <w:rFonts w:ascii="Arial" w:hAnsi="Arial" w:cs="Arial"/>
          <w:color w:val="FF0000"/>
        </w:rPr>
      </w:pPr>
      <w:r w:rsidRPr="00F43CEF">
        <w:rPr>
          <w:rFonts w:ascii="Arial" w:hAnsi="Arial" w:cs="Arial"/>
        </w:rPr>
        <w:t xml:space="preserve">Vyvěšeno na úřední desce </w:t>
      </w:r>
      <w:r w:rsidR="00F43CEF">
        <w:rPr>
          <w:rFonts w:ascii="Arial" w:hAnsi="Arial" w:cs="Arial"/>
        </w:rPr>
        <w:t xml:space="preserve">obecního úřadu </w:t>
      </w:r>
      <w:r w:rsidRPr="00F43CEF">
        <w:rPr>
          <w:rFonts w:ascii="Arial" w:hAnsi="Arial" w:cs="Arial"/>
        </w:rPr>
        <w:t xml:space="preserve">dne: </w:t>
      </w:r>
      <w:r w:rsidRPr="0068594F">
        <w:rPr>
          <w:rFonts w:ascii="Arial" w:hAnsi="Arial" w:cs="Arial"/>
        </w:rPr>
        <w:t>2. září 2015</w:t>
      </w:r>
    </w:p>
    <w:p w:rsidR="00F43CEF" w:rsidRPr="00F43CEF" w:rsidRDefault="00F43CEF" w:rsidP="00E47788">
      <w:pPr>
        <w:jc w:val="both"/>
        <w:rPr>
          <w:rFonts w:ascii="Arial" w:eastAsiaTheme="minorHAnsi" w:hAnsi="Arial" w:cs="Arial"/>
          <w:lang w:eastAsia="en-US"/>
        </w:rPr>
      </w:pPr>
      <w:r w:rsidRPr="00F43CEF">
        <w:rPr>
          <w:rFonts w:ascii="Arial" w:eastAsiaTheme="minorHAnsi" w:hAnsi="Arial" w:cs="Arial"/>
          <w:lang w:eastAsia="en-US"/>
        </w:rPr>
        <w:t>Ve stejném termínu zveřejněno v elektronické podobě umožňující dálkový přístup</w:t>
      </w:r>
    </w:p>
    <w:p w:rsidR="00F43CEF" w:rsidRPr="00F43CEF" w:rsidRDefault="00F43CEF" w:rsidP="00E47788">
      <w:pPr>
        <w:rPr>
          <w:rFonts w:ascii="Arial" w:hAnsi="Arial" w:cs="Arial"/>
        </w:rPr>
      </w:pPr>
    </w:p>
    <w:p w:rsidR="004A415B" w:rsidRPr="00F43CEF" w:rsidRDefault="004A415B" w:rsidP="00E47788">
      <w:pPr>
        <w:rPr>
          <w:rFonts w:ascii="Arial" w:hAnsi="Arial" w:cs="Arial"/>
        </w:rPr>
      </w:pPr>
      <w:r w:rsidRPr="00F43CEF">
        <w:rPr>
          <w:rFonts w:ascii="Arial" w:hAnsi="Arial" w:cs="Arial"/>
        </w:rPr>
        <w:t xml:space="preserve">Sejmuto z úřední desky </w:t>
      </w:r>
      <w:r w:rsidR="00F43CEF">
        <w:rPr>
          <w:rFonts w:ascii="Arial" w:hAnsi="Arial" w:cs="Arial"/>
        </w:rPr>
        <w:t xml:space="preserve">obecního úřadu </w:t>
      </w:r>
      <w:r w:rsidRPr="00F43CEF">
        <w:rPr>
          <w:rFonts w:ascii="Arial" w:hAnsi="Arial" w:cs="Arial"/>
        </w:rPr>
        <w:t>dne:</w:t>
      </w:r>
      <w:r w:rsidR="00BA2BB0">
        <w:rPr>
          <w:rFonts w:ascii="Arial" w:hAnsi="Arial" w:cs="Arial"/>
        </w:rPr>
        <w:t xml:space="preserve"> 18. září 2015</w:t>
      </w:r>
    </w:p>
    <w:p w:rsidR="004A415B" w:rsidRPr="00F43CEF" w:rsidRDefault="004A415B" w:rsidP="00E47788">
      <w:pPr>
        <w:rPr>
          <w:rFonts w:ascii="Arial" w:hAnsi="Arial" w:cs="Arial"/>
        </w:rPr>
      </w:pPr>
      <w:r w:rsidRPr="00F43CEF">
        <w:rPr>
          <w:rFonts w:ascii="Arial" w:hAnsi="Arial" w:cs="Arial"/>
        </w:rPr>
        <w:t>Zasláno správci daně dne:</w:t>
      </w:r>
      <w:r w:rsidR="00330F38">
        <w:rPr>
          <w:rFonts w:ascii="Arial" w:hAnsi="Arial" w:cs="Arial"/>
        </w:rPr>
        <w:t xml:space="preserve"> 21. září 2015</w:t>
      </w:r>
      <w:bookmarkStart w:id="0" w:name="_GoBack"/>
      <w:bookmarkEnd w:id="0"/>
    </w:p>
    <w:p w:rsidR="001B5F1A" w:rsidRPr="00F43CEF" w:rsidRDefault="001B5F1A" w:rsidP="00F43CEF">
      <w:pPr>
        <w:spacing w:after="120"/>
        <w:rPr>
          <w:rFonts w:ascii="Arial" w:hAnsi="Arial" w:cs="Arial"/>
        </w:rPr>
      </w:pPr>
    </w:p>
    <w:sectPr w:rsidR="001B5F1A" w:rsidRPr="00F43CEF" w:rsidSect="001B5F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A415B"/>
    <w:rsid w:val="001B5F1A"/>
    <w:rsid w:val="002950F7"/>
    <w:rsid w:val="00330F38"/>
    <w:rsid w:val="004A415B"/>
    <w:rsid w:val="0068594F"/>
    <w:rsid w:val="00BA2BB0"/>
    <w:rsid w:val="00E02AF4"/>
    <w:rsid w:val="00E47788"/>
    <w:rsid w:val="00F4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24B89F-CAEA-478E-9314-A6D499536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41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A415B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4A415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odsazen21">
    <w:name w:val="Základní text odsazený 21"/>
    <w:basedOn w:val="Normln"/>
    <w:rsid w:val="004A415B"/>
    <w:pPr>
      <w:widowControl w:val="0"/>
      <w:spacing w:after="120" w:line="480" w:lineRule="auto"/>
      <w:ind w:left="283"/>
    </w:pPr>
    <w:rPr>
      <w:lang w:bidi="cs-CZ"/>
    </w:rPr>
  </w:style>
  <w:style w:type="table" w:styleId="Mkatabulky">
    <w:name w:val="Table Grid"/>
    <w:basedOn w:val="Normlntabulka"/>
    <w:uiPriority w:val="59"/>
    <w:rsid w:val="004A4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Starosta</cp:lastModifiedBy>
  <cp:revision>2</cp:revision>
  <dcterms:created xsi:type="dcterms:W3CDTF">2022-01-04T16:22:00Z</dcterms:created>
  <dcterms:modified xsi:type="dcterms:W3CDTF">2022-01-04T16:22:00Z</dcterms:modified>
</cp:coreProperties>
</file>