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129" w:rsidRPr="009C0D3F" w:rsidRDefault="00762129">
      <w:pPr>
        <w:pStyle w:val="Nzev"/>
        <w:rPr>
          <w:sz w:val="32"/>
        </w:rPr>
      </w:pPr>
      <w:bookmarkStart w:id="0" w:name="_Toc531581088"/>
      <w:bookmarkStart w:id="1" w:name="_Toc531583387"/>
      <w:r w:rsidRPr="009C0D3F">
        <w:rPr>
          <w:sz w:val="32"/>
        </w:rPr>
        <w:t xml:space="preserve">vyhláška </w:t>
      </w:r>
      <w:r w:rsidR="001E6ACF">
        <w:rPr>
          <w:sz w:val="32"/>
        </w:rPr>
        <w:t>statutárního</w:t>
      </w:r>
      <w:r w:rsidRPr="009C0D3F">
        <w:rPr>
          <w:sz w:val="32"/>
        </w:rPr>
        <w:t xml:space="preserve"> města Plzně</w:t>
      </w:r>
      <w:bookmarkEnd w:id="0"/>
      <w:bookmarkEnd w:id="1"/>
    </w:p>
    <w:p w:rsidR="00762129" w:rsidRPr="009C0D3F" w:rsidRDefault="00DE6C2D">
      <w:pPr>
        <w:spacing w:after="120"/>
        <w:jc w:val="center"/>
        <w:rPr>
          <w:rFonts w:ascii="Goudy Old Style ATT" w:hAnsi="Goudy Old Style ATT"/>
          <w:b/>
          <w:color w:val="000000"/>
          <w:sz w:val="30"/>
        </w:rPr>
      </w:pPr>
      <w:r>
        <w:rPr>
          <w:rFonts w:ascii="Goudy Old Style ATT" w:hAnsi="Goudy Old Style ATT"/>
          <w:b/>
          <w:color w:val="000000"/>
          <w:sz w:val="30"/>
        </w:rPr>
        <w:t xml:space="preserve"> č. </w:t>
      </w:r>
      <w:r w:rsidR="00A9527F">
        <w:rPr>
          <w:rFonts w:ascii="Goudy Old Style ATT" w:hAnsi="Goudy Old Style ATT"/>
          <w:b/>
          <w:color w:val="000000"/>
          <w:sz w:val="30"/>
        </w:rPr>
        <w:t>9</w:t>
      </w:r>
      <w:r>
        <w:rPr>
          <w:rFonts w:ascii="Goudy Old Style ATT" w:hAnsi="Goudy Old Style ATT"/>
          <w:b/>
          <w:color w:val="000000"/>
          <w:sz w:val="30"/>
        </w:rPr>
        <w:t>/2015</w:t>
      </w:r>
    </w:p>
    <w:p w:rsidR="00762129" w:rsidRPr="009C0D3F" w:rsidRDefault="00762129">
      <w:pPr>
        <w:spacing w:after="120"/>
        <w:jc w:val="both"/>
        <w:rPr>
          <w:rFonts w:ascii="Goudy Old Style ATT" w:hAnsi="Goudy Old Style ATT"/>
          <w:color w:val="000000"/>
          <w:spacing w:val="4"/>
          <w:sz w:val="26"/>
        </w:rPr>
      </w:pPr>
      <w:r w:rsidRPr="009C0D3F">
        <w:rPr>
          <w:rFonts w:ascii="Goudy Old Style ATT" w:hAnsi="Goudy Old Style ATT"/>
          <w:color w:val="000000"/>
          <w:spacing w:val="4"/>
          <w:sz w:val="26"/>
        </w:rPr>
        <w:tab/>
        <w:t>Zastupitelstvo města Plz</w:t>
      </w:r>
      <w:r w:rsidR="009E515D">
        <w:rPr>
          <w:rFonts w:ascii="Goudy Old Style ATT" w:hAnsi="Goudy Old Style ATT"/>
          <w:color w:val="000000"/>
          <w:spacing w:val="4"/>
          <w:sz w:val="26"/>
        </w:rPr>
        <w:t xml:space="preserve">ně svým usnesením č. </w:t>
      </w:r>
      <w:r w:rsidR="00A9527F">
        <w:rPr>
          <w:rFonts w:ascii="Goudy Old Style ATT" w:hAnsi="Goudy Old Style ATT"/>
          <w:color w:val="000000"/>
          <w:spacing w:val="4"/>
          <w:sz w:val="26"/>
        </w:rPr>
        <w:t>640</w:t>
      </w:r>
      <w:r w:rsidR="00E47564">
        <w:rPr>
          <w:rFonts w:ascii="Goudy Old Style ATT" w:hAnsi="Goudy Old Style ATT"/>
          <w:color w:val="000000"/>
          <w:spacing w:val="4"/>
          <w:sz w:val="26"/>
        </w:rPr>
        <w:t xml:space="preserve"> </w:t>
      </w:r>
      <w:r w:rsidR="009B21A5">
        <w:rPr>
          <w:rFonts w:ascii="Goudy Old Style ATT" w:hAnsi="Goudy Old Style ATT"/>
          <w:color w:val="000000"/>
          <w:spacing w:val="4"/>
          <w:sz w:val="26"/>
        </w:rPr>
        <w:t xml:space="preserve">ze dne </w:t>
      </w:r>
      <w:r w:rsidR="00A9527F">
        <w:rPr>
          <w:rFonts w:ascii="Goudy Old Style ATT" w:hAnsi="Goudy Old Style ATT"/>
          <w:color w:val="000000"/>
          <w:spacing w:val="4"/>
          <w:sz w:val="26"/>
        </w:rPr>
        <w:t>10. prosince</w:t>
      </w:r>
      <w:r w:rsidR="00DF04F0">
        <w:rPr>
          <w:rFonts w:ascii="Goudy Old Style ATT" w:hAnsi="Goudy Old Style ATT"/>
          <w:color w:val="000000"/>
          <w:spacing w:val="4"/>
          <w:sz w:val="26"/>
        </w:rPr>
        <w:t xml:space="preserve"> 2015</w:t>
      </w:r>
      <w:r w:rsidRPr="009C0D3F">
        <w:rPr>
          <w:rFonts w:ascii="Goudy Old Style ATT" w:hAnsi="Goudy Old Style ATT"/>
          <w:color w:val="000000"/>
          <w:spacing w:val="4"/>
          <w:sz w:val="26"/>
        </w:rPr>
        <w:t xml:space="preserve"> schválilo podle čl. 104 odst. 3 Ústavy Če</w:t>
      </w:r>
      <w:r w:rsidR="009C0D3F">
        <w:rPr>
          <w:rFonts w:ascii="Goudy Old Style ATT" w:hAnsi="Goudy Old Style ATT"/>
          <w:color w:val="000000"/>
          <w:spacing w:val="4"/>
          <w:sz w:val="26"/>
        </w:rPr>
        <w:t>ské republiky č. 1/1993 Sb. a § </w:t>
      </w:r>
      <w:r w:rsidR="001C42D2">
        <w:rPr>
          <w:rFonts w:ascii="Goudy Old Style ATT" w:hAnsi="Goudy Old Style ATT"/>
          <w:color w:val="000000"/>
          <w:spacing w:val="4"/>
          <w:sz w:val="26"/>
        </w:rPr>
        <w:t>130 a </w:t>
      </w:r>
      <w:r w:rsidRPr="009C0D3F">
        <w:rPr>
          <w:rFonts w:ascii="Goudy Old Style ATT" w:hAnsi="Goudy Old Style ATT"/>
          <w:color w:val="000000"/>
          <w:spacing w:val="4"/>
          <w:sz w:val="26"/>
        </w:rPr>
        <w:t xml:space="preserve">následujících zákona č. 128/2000 Sb., o obcích, tuto obecně závaznou vyhlášku: </w:t>
      </w:r>
    </w:p>
    <w:p w:rsidR="00762129" w:rsidRPr="009C0D3F" w:rsidRDefault="00762129">
      <w:pPr>
        <w:spacing w:after="120"/>
        <w:jc w:val="both"/>
        <w:rPr>
          <w:rFonts w:ascii="Goudy Old Style ATT" w:hAnsi="Goudy Old Style ATT"/>
          <w:color w:val="000000"/>
          <w:spacing w:val="4"/>
          <w:sz w:val="26"/>
        </w:rPr>
      </w:pPr>
    </w:p>
    <w:p w:rsidR="00762129" w:rsidRPr="009C0D3F" w:rsidRDefault="00762129">
      <w:pPr>
        <w:spacing w:after="120"/>
        <w:jc w:val="center"/>
        <w:rPr>
          <w:rFonts w:ascii="Goudy Old Style ATT" w:hAnsi="Goudy Old Style ATT"/>
          <w:b/>
          <w:smallCaps/>
          <w:color w:val="000000"/>
          <w:spacing w:val="20"/>
          <w:sz w:val="34"/>
        </w:rPr>
      </w:pPr>
      <w:r w:rsidRPr="009C0D3F">
        <w:rPr>
          <w:rFonts w:ascii="Goudy Old Style ATT" w:hAnsi="Goudy Old Style ATT"/>
          <w:b/>
          <w:smallCaps/>
          <w:color w:val="000000"/>
          <w:spacing w:val="20"/>
          <w:sz w:val="34"/>
        </w:rPr>
        <w:t>o změnách a doplnění vyhlášky statutárního města Plzně č. 8/2001, Statut města</w:t>
      </w:r>
    </w:p>
    <w:p w:rsidR="00762129" w:rsidRPr="009C0D3F" w:rsidRDefault="00762129">
      <w:pPr>
        <w:spacing w:after="120"/>
        <w:jc w:val="center"/>
        <w:rPr>
          <w:rFonts w:ascii="Goudy Old Style ATT" w:hAnsi="Goudy Old Style ATT"/>
          <w:color w:val="000000"/>
          <w:sz w:val="16"/>
        </w:rPr>
      </w:pPr>
    </w:p>
    <w:p w:rsidR="00762129" w:rsidRPr="009C0D3F" w:rsidRDefault="00762129">
      <w:pPr>
        <w:spacing w:after="120"/>
        <w:jc w:val="center"/>
        <w:rPr>
          <w:rFonts w:ascii="Goudy Old Style ATT" w:hAnsi="Goudy Old Style ATT"/>
          <w:color w:val="000000"/>
          <w:sz w:val="16"/>
        </w:rPr>
      </w:pPr>
    </w:p>
    <w:p w:rsidR="00762129" w:rsidRPr="009C0D3F" w:rsidRDefault="00762129">
      <w:pPr>
        <w:pStyle w:val="Nadpis8"/>
      </w:pPr>
      <w:r w:rsidRPr="009C0D3F">
        <w:t>Článek 1</w:t>
      </w:r>
    </w:p>
    <w:p w:rsidR="00762129" w:rsidRPr="009C0D3F" w:rsidRDefault="00762129">
      <w:pPr>
        <w:pStyle w:val="Nadpis8"/>
        <w:spacing w:after="120"/>
      </w:pPr>
      <w:r w:rsidRPr="009C0D3F">
        <w:t>Změny a doplnění Statutu města</w:t>
      </w:r>
    </w:p>
    <w:p w:rsidR="00762129" w:rsidRDefault="00762129">
      <w:pPr>
        <w:pStyle w:val="Zkladntext2"/>
        <w:spacing w:after="120"/>
        <w:rPr>
          <w:rFonts w:ascii="Goudy Old Style ATT" w:hAnsi="Goudy Old Style ATT"/>
        </w:rPr>
      </w:pPr>
      <w:r w:rsidRPr="009C0D3F">
        <w:rPr>
          <w:rFonts w:ascii="Goudy Old Style ATT" w:hAnsi="Goudy Old Style ATT"/>
        </w:rPr>
        <w:tab/>
        <w:t>Vyhláška statutárního města Plzně č. 8/2001, Sta</w:t>
      </w:r>
      <w:r w:rsidR="00535D6B" w:rsidRPr="009C0D3F">
        <w:rPr>
          <w:rFonts w:ascii="Goudy Old Style ATT" w:hAnsi="Goudy Old Style ATT"/>
        </w:rPr>
        <w:t>tut města, ve znění vyhlášky č. </w:t>
      </w:r>
      <w:r w:rsidRPr="009C0D3F">
        <w:rPr>
          <w:rFonts w:ascii="Goudy Old Style ATT" w:hAnsi="Goudy Old Style ATT"/>
        </w:rPr>
        <w:t>12/2002, vyhlášky č. 3/2004, vyhlášky č. 20/2004, v</w:t>
      </w:r>
      <w:r w:rsidR="00535D6B" w:rsidRPr="009C0D3F">
        <w:rPr>
          <w:rFonts w:ascii="Goudy Old Style ATT" w:hAnsi="Goudy Old Style ATT"/>
        </w:rPr>
        <w:t xml:space="preserve">yhlášky č. 17/2005, vyhlášky č. 14/2006, </w:t>
      </w:r>
      <w:r w:rsidR="00641175">
        <w:rPr>
          <w:rFonts w:ascii="Goudy Old Style ATT" w:hAnsi="Goudy Old Style ATT"/>
        </w:rPr>
        <w:t>vyhlášky č. 20/2006,</w:t>
      </w:r>
      <w:r w:rsidR="00CC7C90">
        <w:rPr>
          <w:rFonts w:ascii="Goudy Old Style ATT" w:hAnsi="Goudy Old Style ATT"/>
        </w:rPr>
        <w:t xml:space="preserve"> vyhlášky č. 1/2009, </w:t>
      </w:r>
      <w:r w:rsidR="00641175">
        <w:rPr>
          <w:rFonts w:ascii="Goudy Old Style ATT" w:hAnsi="Goudy Old Style ATT"/>
        </w:rPr>
        <w:t xml:space="preserve">vyhlášky </w:t>
      </w:r>
      <w:r w:rsidR="00D5646D">
        <w:rPr>
          <w:rFonts w:ascii="Goudy Old Style ATT" w:hAnsi="Goudy Old Style ATT"/>
        </w:rPr>
        <w:t xml:space="preserve">č. </w:t>
      </w:r>
      <w:r w:rsidR="00F76464">
        <w:rPr>
          <w:rFonts w:ascii="Goudy Old Style ATT" w:hAnsi="Goudy Old Style ATT"/>
        </w:rPr>
        <w:t>3/2010, v</w:t>
      </w:r>
      <w:r w:rsidR="009E515D">
        <w:rPr>
          <w:rFonts w:ascii="Goudy Old Style ATT" w:hAnsi="Goudy Old Style ATT"/>
        </w:rPr>
        <w:t>yhlášky č. </w:t>
      </w:r>
      <w:r w:rsidR="00CC7C90">
        <w:rPr>
          <w:rFonts w:ascii="Goudy Old Style ATT" w:hAnsi="Goudy Old Style ATT"/>
        </w:rPr>
        <w:t>14/2011</w:t>
      </w:r>
      <w:r w:rsidR="00B2610B">
        <w:rPr>
          <w:rFonts w:ascii="Goudy Old Style ATT" w:hAnsi="Goudy Old Style ATT"/>
        </w:rPr>
        <w:t xml:space="preserve">, </w:t>
      </w:r>
      <w:r w:rsidR="00F76464">
        <w:rPr>
          <w:rFonts w:ascii="Goudy Old Style ATT" w:hAnsi="Goudy Old Style ATT"/>
        </w:rPr>
        <w:t>vyhlášky č. 9/2012</w:t>
      </w:r>
      <w:r w:rsidR="001E6ACF">
        <w:rPr>
          <w:rFonts w:ascii="Goudy Old Style ATT" w:hAnsi="Goudy Old Style ATT"/>
        </w:rPr>
        <w:t>,</w:t>
      </w:r>
      <w:r w:rsidR="00DE6C2D">
        <w:rPr>
          <w:rFonts w:ascii="Goudy Old Style ATT" w:hAnsi="Goudy Old Style ATT"/>
        </w:rPr>
        <w:t xml:space="preserve"> vyhlášky č. 3/2013, </w:t>
      </w:r>
      <w:r w:rsidR="00E47564">
        <w:rPr>
          <w:rFonts w:ascii="Goudy Old Style ATT" w:hAnsi="Goudy Old Style ATT"/>
        </w:rPr>
        <w:t xml:space="preserve">vyhlášky č. 11/2013, </w:t>
      </w:r>
      <w:r w:rsidR="00DE6C2D">
        <w:rPr>
          <w:rFonts w:ascii="Goudy Old Style ATT" w:hAnsi="Goudy Old Style ATT"/>
        </w:rPr>
        <w:t>vyhlášky č. 7/2014</w:t>
      </w:r>
      <w:r w:rsidR="00E47564">
        <w:rPr>
          <w:rFonts w:ascii="Goudy Old Style ATT" w:hAnsi="Goudy Old Style ATT"/>
        </w:rPr>
        <w:t xml:space="preserve"> a vyhlášky č. 4/2015</w:t>
      </w:r>
      <w:r w:rsidR="00DE6C2D">
        <w:rPr>
          <w:rFonts w:ascii="Goudy Old Style ATT" w:hAnsi="Goudy Old Style ATT"/>
        </w:rPr>
        <w:t xml:space="preserve"> </w:t>
      </w:r>
      <w:r w:rsidRPr="009C0D3F">
        <w:rPr>
          <w:rFonts w:ascii="Goudy Old Style ATT" w:hAnsi="Goudy Old Style ATT"/>
        </w:rPr>
        <w:t>se mění a doplňuje takto:</w:t>
      </w:r>
    </w:p>
    <w:p w:rsidR="007E5B1A" w:rsidRDefault="007E5B1A">
      <w:pPr>
        <w:pStyle w:val="Zkladntext2"/>
        <w:spacing w:after="120"/>
        <w:rPr>
          <w:rFonts w:ascii="Goudy Old Style ATT" w:hAnsi="Goudy Old Style ATT"/>
        </w:rPr>
      </w:pPr>
    </w:p>
    <w:p w:rsidR="00AC1078" w:rsidRDefault="00AC1078" w:rsidP="00E4756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 xml:space="preserve">V čl. 15 odst. 4 se poznámka pod čarou označuje jako poznámka pod čarou č. </w:t>
      </w:r>
      <w:proofErr w:type="gramStart"/>
      <w:r>
        <w:rPr>
          <w:rFonts w:ascii="Goudy Old Style ATT" w:hAnsi="Goudy Old Style ATT"/>
          <w:color w:val="000000"/>
        </w:rPr>
        <w:t>7a</w:t>
      </w:r>
      <w:proofErr w:type="gramEnd"/>
      <w:r>
        <w:rPr>
          <w:rFonts w:ascii="Goudy Old Style ATT" w:hAnsi="Goudy Old Style ATT"/>
          <w:color w:val="000000"/>
        </w:rPr>
        <w:t>.</w:t>
      </w:r>
    </w:p>
    <w:p w:rsidR="00F30ADD" w:rsidRDefault="00F30ADD" w:rsidP="00E4756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20 odst. 1 se písmeno g) zrušuje.</w:t>
      </w:r>
    </w:p>
    <w:p w:rsidR="00F30ADD" w:rsidRDefault="00F30ADD" w:rsidP="00F30ADD">
      <w:pPr>
        <w:spacing w:after="240"/>
        <w:ind w:left="425"/>
        <w:jc w:val="both"/>
        <w:rPr>
          <w:rFonts w:ascii="Goudy Old Style ATT" w:hAnsi="Goudy Old Style ATT"/>
          <w:color w:val="000000"/>
        </w:rPr>
      </w:pPr>
      <w:r>
        <w:rPr>
          <w:rFonts w:ascii="Goudy Old Style ATT" w:hAnsi="Goudy Old Style ATT"/>
          <w:color w:val="000000"/>
        </w:rPr>
        <w:t>Dosavadní písmena h) až j) se označují jako písmena g) až i).</w:t>
      </w:r>
    </w:p>
    <w:p w:rsidR="00E47564" w:rsidRDefault="00DE6C2D" w:rsidP="00E4756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2</w:t>
      </w:r>
      <w:r w:rsidR="00E47564">
        <w:rPr>
          <w:rFonts w:ascii="Goudy Old Style ATT" w:hAnsi="Goudy Old Style ATT"/>
          <w:color w:val="000000"/>
        </w:rPr>
        <w:t>0 odst. 2 zní:</w:t>
      </w:r>
    </w:p>
    <w:p w:rsidR="00E47564" w:rsidRDefault="00E47564" w:rsidP="00E47564">
      <w:pPr>
        <w:spacing w:after="240" w:line="276" w:lineRule="auto"/>
        <w:ind w:left="284" w:firstLine="425"/>
        <w:jc w:val="both"/>
        <w:rPr>
          <w:rFonts w:ascii="Goudy Old Style ATT" w:hAnsi="Goudy Old Style ATT"/>
          <w:color w:val="000000"/>
        </w:rPr>
      </w:pPr>
      <w:r>
        <w:rPr>
          <w:rFonts w:ascii="Goudy Old Style ATT" w:hAnsi="Goudy Old Style ATT"/>
          <w:color w:val="000000"/>
        </w:rPr>
        <w:t xml:space="preserve">„(2) Orgány obvodu ve vztahu k bytům ve vlastnictví města na území obvodu </w:t>
      </w:r>
      <w:r>
        <w:rPr>
          <w:rFonts w:ascii="Goudy Old Style ATT" w:hAnsi="Goudy Old Style ATT"/>
        </w:rPr>
        <w:t>zajišťují komplexní správu bytů a domů ve vlastnictví města, jejichž správa je vyhrazena jednotlivým městským obvodům dle přílohy č. 3, a služebních bytů v mateřských školách.“.</w:t>
      </w:r>
      <w:r>
        <w:rPr>
          <w:rFonts w:ascii="Goudy Old Style ATT" w:hAnsi="Goudy Old Style ATT"/>
          <w:color w:val="000000"/>
        </w:rPr>
        <w:t xml:space="preserve"> </w:t>
      </w:r>
    </w:p>
    <w:p w:rsidR="00E47564" w:rsidRDefault="00E47564" w:rsidP="00E47564">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 xml:space="preserve">V čl. 23 odst. 2 písm. a) se slova „do okresního </w:t>
      </w:r>
      <w:r w:rsidR="008E52E3">
        <w:rPr>
          <w:rFonts w:ascii="Goudy Old Style ATT" w:hAnsi="Goudy Old Style ATT"/>
          <w:color w:val="000000"/>
        </w:rPr>
        <w:t>či krajského</w:t>
      </w:r>
      <w:r>
        <w:rPr>
          <w:rFonts w:ascii="Goudy Old Style ATT" w:hAnsi="Goudy Old Style ATT"/>
          <w:color w:val="000000"/>
        </w:rPr>
        <w:t xml:space="preserve"> plánu zimní údržby“ nahrazují slovy „do plánu zimní údržby města Plzně“.</w:t>
      </w:r>
    </w:p>
    <w:p w:rsidR="00E47564" w:rsidRDefault="00E47564" w:rsidP="00E4756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24 odst. 2 se tečka na konci odstavce nahrazuje středníkem a za písmeno d) se vkládá nové písmeno e) ve znění:</w:t>
      </w:r>
    </w:p>
    <w:p w:rsidR="00E47564" w:rsidRDefault="00E47564" w:rsidP="00E47564">
      <w:pPr>
        <w:spacing w:after="120"/>
        <w:ind w:left="851" w:hanging="426"/>
        <w:jc w:val="both"/>
        <w:rPr>
          <w:rFonts w:ascii="Goudy Old Style ATT" w:hAnsi="Goudy Old Style ATT"/>
          <w:color w:val="000000"/>
        </w:rPr>
      </w:pPr>
      <w:r>
        <w:rPr>
          <w:rFonts w:ascii="Goudy Old Style ATT" w:hAnsi="Goudy Old Style ATT"/>
          <w:color w:val="000000"/>
        </w:rPr>
        <w:t xml:space="preserve">„e) </w:t>
      </w:r>
      <w:r>
        <w:rPr>
          <w:rFonts w:ascii="Goudy Old Style ATT" w:hAnsi="Goudy Old Style ATT"/>
          <w:color w:val="000000"/>
        </w:rPr>
        <w:tab/>
        <w:t xml:space="preserve">organizují kulturní a jiné společenské podniky k reprezentaci a propagaci městského obvodu a k rozvoji kulturního a společenského života občanů města.“. </w:t>
      </w:r>
    </w:p>
    <w:p w:rsidR="001800D4" w:rsidRPr="00F159B8" w:rsidRDefault="001800D4" w:rsidP="00C9600D">
      <w:pPr>
        <w:numPr>
          <w:ilvl w:val="0"/>
          <w:numId w:val="1"/>
        </w:numPr>
        <w:spacing w:after="120"/>
        <w:ind w:firstLine="425"/>
        <w:jc w:val="both"/>
        <w:rPr>
          <w:rFonts w:ascii="Goudy Old Style ATT" w:hAnsi="Goudy Old Style ATT"/>
          <w:color w:val="000000"/>
        </w:rPr>
      </w:pPr>
      <w:r w:rsidRPr="00F159B8">
        <w:rPr>
          <w:rFonts w:ascii="Goudy Old Style ATT" w:hAnsi="Goudy Old Style ATT"/>
          <w:color w:val="000000"/>
        </w:rPr>
        <w:t>V příloze č. 3, čl. 3 se bod 36. zrušuje.</w:t>
      </w:r>
    </w:p>
    <w:p w:rsidR="001800D4" w:rsidRPr="00F159B8" w:rsidRDefault="001800D4" w:rsidP="001800D4">
      <w:pPr>
        <w:spacing w:after="120"/>
        <w:ind w:left="425"/>
        <w:jc w:val="both"/>
        <w:rPr>
          <w:rFonts w:ascii="Goudy Old Style ATT" w:hAnsi="Goudy Old Style ATT"/>
          <w:color w:val="000000"/>
        </w:rPr>
      </w:pPr>
      <w:r w:rsidRPr="00F159B8">
        <w:rPr>
          <w:rFonts w:ascii="Goudy Old Style ATT" w:hAnsi="Goudy Old Style ATT"/>
          <w:color w:val="000000"/>
        </w:rPr>
        <w:t xml:space="preserve">Dosavadní bod 37. se označuje jako bod 36.  </w:t>
      </w:r>
    </w:p>
    <w:p w:rsidR="001800D4" w:rsidRPr="00F159B8" w:rsidRDefault="001800D4" w:rsidP="00C9600D">
      <w:pPr>
        <w:numPr>
          <w:ilvl w:val="0"/>
          <w:numId w:val="1"/>
        </w:numPr>
        <w:spacing w:after="120"/>
        <w:ind w:firstLine="425"/>
        <w:jc w:val="both"/>
        <w:rPr>
          <w:rFonts w:ascii="Goudy Old Style ATT" w:hAnsi="Goudy Old Style ATT"/>
          <w:color w:val="000000"/>
        </w:rPr>
      </w:pPr>
      <w:r w:rsidRPr="00F159B8">
        <w:rPr>
          <w:rFonts w:ascii="Goudy Old Style ATT" w:hAnsi="Goudy Old Style ATT"/>
          <w:color w:val="000000"/>
        </w:rPr>
        <w:t>V příloze č. 3, čl. 3 se za bod 36. vkládá nový bod 37., který zní:</w:t>
      </w:r>
    </w:p>
    <w:p w:rsidR="001800D4" w:rsidRDefault="001800D4" w:rsidP="001800D4">
      <w:pPr>
        <w:spacing w:after="120"/>
        <w:ind w:left="425"/>
        <w:jc w:val="both"/>
        <w:rPr>
          <w:rFonts w:ascii="Goudy Old Style ATT" w:hAnsi="Goudy Old Style ATT"/>
          <w:color w:val="000000"/>
        </w:rPr>
      </w:pPr>
      <w:r w:rsidRPr="00F159B8">
        <w:rPr>
          <w:rFonts w:ascii="Goudy Old Style ATT" w:hAnsi="Goudy Old Style ATT"/>
          <w:color w:val="000000"/>
        </w:rPr>
        <w:t xml:space="preserve">„37. Pozemky p. č. 1227/6, p. č. 1227/12 a p. č. 1227/13, vše k. </w:t>
      </w:r>
      <w:proofErr w:type="spellStart"/>
      <w:r w:rsidRPr="00F159B8">
        <w:rPr>
          <w:rFonts w:ascii="Goudy Old Style ATT" w:hAnsi="Goudy Old Style ATT"/>
          <w:color w:val="000000"/>
        </w:rPr>
        <w:t>ú.</w:t>
      </w:r>
      <w:proofErr w:type="spellEnd"/>
      <w:r w:rsidRPr="00F159B8">
        <w:rPr>
          <w:rFonts w:ascii="Goudy Old Style ATT" w:hAnsi="Goudy Old Style ATT"/>
          <w:color w:val="000000"/>
        </w:rPr>
        <w:t xml:space="preserve"> Valcha.“.</w:t>
      </w:r>
      <w:r>
        <w:rPr>
          <w:rFonts w:ascii="Goudy Old Style ATT" w:hAnsi="Goudy Old Style ATT"/>
          <w:color w:val="000000"/>
        </w:rPr>
        <w:t xml:space="preserve"> </w:t>
      </w:r>
    </w:p>
    <w:p w:rsidR="00C9600D" w:rsidRDefault="00C9600D" w:rsidP="00C9600D">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příloze č. 3, čl. 4 se za b</w:t>
      </w:r>
      <w:r w:rsidR="00C14BB3">
        <w:rPr>
          <w:rFonts w:ascii="Goudy Old Style ATT" w:hAnsi="Goudy Old Style ATT"/>
          <w:color w:val="000000"/>
        </w:rPr>
        <w:t xml:space="preserve">od 14. vkládají nové body 15. a </w:t>
      </w:r>
      <w:r>
        <w:rPr>
          <w:rFonts w:ascii="Goudy Old Style ATT" w:hAnsi="Goudy Old Style ATT"/>
          <w:color w:val="000000"/>
        </w:rPr>
        <w:t>16., které zní:</w:t>
      </w:r>
    </w:p>
    <w:p w:rsidR="00C9600D" w:rsidRPr="004810E7" w:rsidRDefault="00C9600D" w:rsidP="00C9600D">
      <w:pPr>
        <w:spacing w:after="120" w:line="276" w:lineRule="auto"/>
        <w:ind w:left="851" w:hanging="425"/>
        <w:contextualSpacing/>
        <w:jc w:val="both"/>
        <w:rPr>
          <w:rFonts w:ascii="Goudy Old Style ATT" w:hAnsi="Goudy Old Style ATT"/>
          <w:color w:val="000000"/>
        </w:rPr>
      </w:pPr>
      <w:r>
        <w:rPr>
          <w:rFonts w:ascii="Goudy Old Style ATT" w:hAnsi="Goudy Old Style ATT"/>
          <w:color w:val="000000"/>
        </w:rPr>
        <w:lastRenderedPageBreak/>
        <w:t xml:space="preserve">„15. </w:t>
      </w:r>
      <w:r w:rsidRPr="002F33B5">
        <w:rPr>
          <w:rFonts w:ascii="Goudy Old Style ATT" w:hAnsi="Goudy Old Style ATT"/>
          <w:color w:val="000000"/>
        </w:rPr>
        <w:t xml:space="preserve">Areál „Vodní plochy Lobezská louka – I. etapa“, sestávající z pozemků p. č. 694/7, p. č. 694/16, p. č. 694/17, p. č. 694/21, p. č. 696/3, p. č. 696/4, p. č. 696/5, p. č. 697/1, p. č. 697/3 a p. č. 698, včetně všech staveb na těchto pozemcích, vše k. </w:t>
      </w:r>
      <w:proofErr w:type="spellStart"/>
      <w:r w:rsidRPr="002F33B5">
        <w:rPr>
          <w:rFonts w:ascii="Goudy Old Style ATT" w:hAnsi="Goudy Old Style ATT"/>
          <w:color w:val="000000"/>
        </w:rPr>
        <w:t>ú.</w:t>
      </w:r>
      <w:proofErr w:type="spellEnd"/>
      <w:r w:rsidRPr="002F33B5">
        <w:rPr>
          <w:rFonts w:ascii="Goudy Old Style ATT" w:hAnsi="Goudy Old Style ATT"/>
          <w:color w:val="000000"/>
        </w:rPr>
        <w:t xml:space="preserve"> </w:t>
      </w:r>
      <w:proofErr w:type="spellStart"/>
      <w:r w:rsidRPr="002F33B5">
        <w:rPr>
          <w:rFonts w:ascii="Goudy Old Style ATT" w:hAnsi="Goudy Old Style ATT"/>
          <w:color w:val="000000"/>
        </w:rPr>
        <w:t>Lobzy</w:t>
      </w:r>
      <w:proofErr w:type="spellEnd"/>
      <w:r w:rsidRPr="002F33B5">
        <w:rPr>
          <w:rFonts w:ascii="Goudy Old Style ATT" w:hAnsi="Goudy Old Style ATT"/>
          <w:color w:val="000000"/>
        </w:rPr>
        <w:t>.</w:t>
      </w:r>
    </w:p>
    <w:p w:rsidR="00C14BB3" w:rsidRDefault="00C9600D" w:rsidP="00C14BB3">
      <w:pPr>
        <w:numPr>
          <w:ilvl w:val="0"/>
          <w:numId w:val="44"/>
        </w:numPr>
        <w:spacing w:after="240" w:line="276" w:lineRule="auto"/>
        <w:ind w:left="850" w:hanging="425"/>
        <w:jc w:val="both"/>
        <w:rPr>
          <w:rFonts w:ascii="Goudy Old Style ATT" w:hAnsi="Goudy Old Style ATT"/>
          <w:color w:val="000000"/>
        </w:rPr>
      </w:pPr>
      <w:r w:rsidRPr="002F33B5">
        <w:rPr>
          <w:rFonts w:ascii="Goudy Old Style ATT" w:hAnsi="Goudy Old Style ATT"/>
          <w:color w:val="000000"/>
        </w:rPr>
        <w:t>Pozemek p. č. 166/8, jehož součástí je stavba Červe</w:t>
      </w:r>
      <w:r>
        <w:rPr>
          <w:rFonts w:ascii="Goudy Old Style ATT" w:hAnsi="Goudy Old Style ATT"/>
          <w:color w:val="000000"/>
        </w:rPr>
        <w:t>ný Hrádek č. p. 438, pozemek p. </w:t>
      </w:r>
      <w:r w:rsidRPr="002F33B5">
        <w:rPr>
          <w:rFonts w:ascii="Goudy Old Style ATT" w:hAnsi="Goudy Old Style ATT"/>
          <w:color w:val="000000"/>
        </w:rPr>
        <w:t xml:space="preserve">č. 165/1, pozemek p. č. 166/1, pozemek p. č. 166/9, pozemek p. č. 167/2, pozemek p. č. 165/2 a pozemek p. č. 98/2, vše k. </w:t>
      </w:r>
      <w:proofErr w:type="spellStart"/>
      <w:r w:rsidRPr="002F33B5">
        <w:rPr>
          <w:rFonts w:ascii="Goudy Old Style ATT" w:hAnsi="Goudy Old Style ATT"/>
          <w:color w:val="000000"/>
        </w:rPr>
        <w:t>ú.</w:t>
      </w:r>
      <w:proofErr w:type="spellEnd"/>
      <w:r w:rsidRPr="002F33B5">
        <w:rPr>
          <w:rFonts w:ascii="Goudy Old Style ATT" w:hAnsi="Goudy Old Style ATT"/>
          <w:color w:val="000000"/>
        </w:rPr>
        <w:t xml:space="preserve"> Červený Hrádek u Plzně.</w:t>
      </w:r>
      <w:r w:rsidR="00C14BB3">
        <w:rPr>
          <w:rFonts w:ascii="Goudy Old Style ATT" w:hAnsi="Goudy Old Style ATT"/>
          <w:color w:val="000000"/>
        </w:rPr>
        <w:t>“.</w:t>
      </w:r>
    </w:p>
    <w:p w:rsidR="00C14BB3" w:rsidRPr="00F159B8" w:rsidRDefault="00C14BB3" w:rsidP="00C14BB3">
      <w:pPr>
        <w:numPr>
          <w:ilvl w:val="0"/>
          <w:numId w:val="1"/>
        </w:numPr>
        <w:spacing w:after="120"/>
        <w:ind w:firstLine="425"/>
        <w:jc w:val="both"/>
        <w:rPr>
          <w:rFonts w:ascii="Goudy Old Style ATT" w:hAnsi="Goudy Old Style ATT"/>
          <w:color w:val="000000"/>
        </w:rPr>
      </w:pPr>
      <w:r w:rsidRPr="00F159B8">
        <w:rPr>
          <w:rFonts w:ascii="Goudy Old Style ATT" w:hAnsi="Goudy Old Style ATT"/>
          <w:color w:val="000000"/>
        </w:rPr>
        <w:t>V příloze č. 3, čl. 4 se za bod 16. vkládá nový bod 17., který zní:</w:t>
      </w:r>
    </w:p>
    <w:p w:rsidR="00C9600D" w:rsidRPr="00F159B8" w:rsidRDefault="00C14BB3" w:rsidP="00C14BB3">
      <w:pPr>
        <w:spacing w:after="240" w:line="276" w:lineRule="auto"/>
        <w:ind w:left="850" w:hanging="424"/>
        <w:jc w:val="both"/>
        <w:rPr>
          <w:rFonts w:ascii="Goudy Old Style ATT" w:hAnsi="Goudy Old Style ATT"/>
          <w:color w:val="000000"/>
        </w:rPr>
      </w:pPr>
      <w:r w:rsidRPr="00F159B8">
        <w:rPr>
          <w:rFonts w:ascii="Goudy Old Style ATT" w:hAnsi="Goudy Old Style ATT"/>
          <w:color w:val="000000"/>
        </w:rPr>
        <w:t xml:space="preserve">„17. Pozemek p. č. 9/12, jehož součástí je stavba Doubravka č. p. 1238, k. </w:t>
      </w:r>
      <w:proofErr w:type="spellStart"/>
      <w:r w:rsidRPr="00F159B8">
        <w:rPr>
          <w:rFonts w:ascii="Goudy Old Style ATT" w:hAnsi="Goudy Old Style ATT"/>
          <w:color w:val="000000"/>
        </w:rPr>
        <w:t>ú.</w:t>
      </w:r>
      <w:proofErr w:type="spellEnd"/>
      <w:r w:rsidRPr="00F159B8">
        <w:rPr>
          <w:rFonts w:ascii="Goudy Old Style ATT" w:hAnsi="Goudy Old Style ATT"/>
          <w:color w:val="000000"/>
        </w:rPr>
        <w:t xml:space="preserve"> Doubravka.</w:t>
      </w:r>
      <w:r w:rsidR="00C9600D" w:rsidRPr="00F159B8">
        <w:rPr>
          <w:rFonts w:ascii="Goudy Old Style ATT" w:hAnsi="Goudy Old Style ATT"/>
          <w:color w:val="000000"/>
        </w:rPr>
        <w:t xml:space="preserve">“. </w:t>
      </w:r>
    </w:p>
    <w:p w:rsidR="00E47564" w:rsidRDefault="00B20D44" w:rsidP="00C9600D">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příloze č. 3</w:t>
      </w:r>
      <w:r w:rsidR="000C45CC">
        <w:rPr>
          <w:rFonts w:ascii="Goudy Old Style ATT" w:hAnsi="Goudy Old Style ATT"/>
          <w:color w:val="000000"/>
        </w:rPr>
        <w:t xml:space="preserve">, čl. 5 se za bod 6. vkládá nový bod 7. ve znění: </w:t>
      </w:r>
      <w:r>
        <w:rPr>
          <w:rFonts w:ascii="Goudy Old Style ATT" w:hAnsi="Goudy Old Style ATT"/>
          <w:color w:val="000000"/>
        </w:rPr>
        <w:t xml:space="preserve"> </w:t>
      </w:r>
    </w:p>
    <w:p w:rsidR="00C9600D" w:rsidRDefault="000C45CC" w:rsidP="00C9600D">
      <w:pPr>
        <w:spacing w:after="240"/>
        <w:ind w:left="425"/>
        <w:jc w:val="both"/>
        <w:rPr>
          <w:rFonts w:ascii="Goudy Old Style ATT" w:hAnsi="Goudy Old Style ATT"/>
          <w:color w:val="000000"/>
        </w:rPr>
      </w:pPr>
      <w:r>
        <w:rPr>
          <w:rFonts w:ascii="Goudy Old Style ATT" w:hAnsi="Goudy Old Style ATT"/>
          <w:color w:val="000000"/>
        </w:rPr>
        <w:t xml:space="preserve">„7. Pozemek p. č. 1097/104, k. </w:t>
      </w:r>
      <w:proofErr w:type="spellStart"/>
      <w:r>
        <w:rPr>
          <w:rFonts w:ascii="Goudy Old Style ATT" w:hAnsi="Goudy Old Style ATT"/>
          <w:color w:val="000000"/>
        </w:rPr>
        <w:t>ú.</w:t>
      </w:r>
      <w:proofErr w:type="spellEnd"/>
      <w:r>
        <w:rPr>
          <w:rFonts w:ascii="Goudy Old Style ATT" w:hAnsi="Goudy Old Style ATT"/>
          <w:color w:val="000000"/>
        </w:rPr>
        <w:t xml:space="preserve"> Křimice.“.</w:t>
      </w:r>
    </w:p>
    <w:p w:rsidR="00E47564" w:rsidRDefault="000C45CC" w:rsidP="00C9600D">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příloze č. 4, čl. 2 odstavec 1 zní:</w:t>
      </w:r>
    </w:p>
    <w:p w:rsidR="000C45CC" w:rsidRDefault="000C45CC" w:rsidP="000C45CC">
      <w:pPr>
        <w:spacing w:after="240"/>
        <w:ind w:firstLine="709"/>
        <w:jc w:val="both"/>
        <w:rPr>
          <w:rFonts w:ascii="Goudy Old Style ATT" w:hAnsi="Goudy Old Style ATT"/>
          <w:color w:val="000000"/>
        </w:rPr>
      </w:pPr>
      <w:r>
        <w:rPr>
          <w:rFonts w:ascii="Goudy Old Style ATT" w:hAnsi="Goudy Old Style ATT"/>
          <w:color w:val="000000"/>
        </w:rPr>
        <w:t xml:space="preserve">„(1) </w:t>
      </w:r>
      <w:r>
        <w:rPr>
          <w:rFonts w:ascii="Goudy Old Style ATT" w:hAnsi="Goudy Old Style ATT"/>
          <w:color w:val="000000"/>
          <w:spacing w:val="-4"/>
        </w:rPr>
        <w:t>Zpracovatel návrhu předpisu jej před jeho předložením ke schválení (</w:t>
      </w:r>
      <w:r>
        <w:rPr>
          <w:rFonts w:ascii="Goudy Old Style ATT" w:hAnsi="Goudy Old Style ATT"/>
          <w:i/>
          <w:color w:val="000000"/>
          <w:spacing w:val="-4"/>
        </w:rPr>
        <w:t>nařízení</w:t>
      </w:r>
      <w:r>
        <w:rPr>
          <w:rFonts w:ascii="Goudy Old Style ATT" w:hAnsi="Goudy Old Style ATT"/>
          <w:color w:val="000000"/>
          <w:spacing w:val="-4"/>
        </w:rPr>
        <w:t>) nebo projednání (</w:t>
      </w:r>
      <w:r>
        <w:rPr>
          <w:rFonts w:ascii="Goudy Old Style ATT" w:hAnsi="Goudy Old Style ATT"/>
          <w:i/>
          <w:color w:val="000000"/>
          <w:spacing w:val="-4"/>
        </w:rPr>
        <w:t>vyhláška</w:t>
      </w:r>
      <w:r>
        <w:rPr>
          <w:rFonts w:ascii="Goudy Old Style ATT" w:hAnsi="Goudy Old Style ATT"/>
          <w:color w:val="000000"/>
          <w:spacing w:val="-4"/>
        </w:rPr>
        <w:t>) v radě města zašle vždy k vyjádření městským obvodům a dále k vyjádření městským orgánům a organizacím města, jejichž činnosti se předmět právního předpisu dotýká, a stanoví jim lhůtu, ve které tak mají učinit.“.</w:t>
      </w:r>
    </w:p>
    <w:p w:rsidR="000C45CC" w:rsidRPr="000C45CC" w:rsidRDefault="000C45CC" w:rsidP="00C9600D">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 xml:space="preserve">V příloze č. 4, čl. </w:t>
      </w:r>
      <w:r w:rsidR="00550725">
        <w:rPr>
          <w:rFonts w:ascii="Goudy Old Style ATT" w:hAnsi="Goudy Old Style ATT"/>
          <w:color w:val="000000"/>
        </w:rPr>
        <w:t xml:space="preserve">2 </w:t>
      </w:r>
      <w:r>
        <w:rPr>
          <w:rFonts w:ascii="Goudy Old Style ATT" w:hAnsi="Goudy Old Style ATT"/>
          <w:color w:val="000000"/>
        </w:rPr>
        <w:t>odst. 3 druhá věta zní: „Jde-li o zásadní připomínku, musí to v ní být výslovně uvedeno a taková připomínka musí být vždy řádně odůvodněna.“.</w:t>
      </w:r>
    </w:p>
    <w:p w:rsidR="00E47564" w:rsidRDefault="000C45CC" w:rsidP="00C9600D">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 xml:space="preserve">V příloze č. 4, čl. 3 odst. 1 se slova „ke každé vyhlášce“ nahrazují slovy „ke každému právnímu předpisu města“. </w:t>
      </w:r>
    </w:p>
    <w:p w:rsidR="000C45CC" w:rsidRDefault="000C45CC" w:rsidP="00C9600D">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příloze č. 4</w:t>
      </w:r>
      <w:r w:rsidR="00DE5BEA">
        <w:rPr>
          <w:rFonts w:ascii="Goudy Old Style ATT" w:hAnsi="Goudy Old Style ATT"/>
          <w:color w:val="000000"/>
        </w:rPr>
        <w:t>,</w:t>
      </w:r>
      <w:r>
        <w:rPr>
          <w:rFonts w:ascii="Goudy Old Style ATT" w:hAnsi="Goudy Old Style ATT"/>
          <w:color w:val="000000"/>
        </w:rPr>
        <w:t xml:space="preserve"> článek</w:t>
      </w:r>
      <w:r w:rsidR="00DE5BEA">
        <w:rPr>
          <w:rFonts w:ascii="Goudy Old Style ATT" w:hAnsi="Goudy Old Style ATT"/>
          <w:color w:val="000000"/>
        </w:rPr>
        <w:t xml:space="preserve"> 4</w:t>
      </w:r>
      <w:r>
        <w:rPr>
          <w:rFonts w:ascii="Goudy Old Style ATT" w:hAnsi="Goudy Old Style ATT"/>
          <w:color w:val="000000"/>
        </w:rPr>
        <w:t xml:space="preserve"> zní:</w:t>
      </w:r>
    </w:p>
    <w:p w:rsidR="000C45CC" w:rsidRDefault="000C45CC" w:rsidP="00DE5BEA">
      <w:pPr>
        <w:pStyle w:val="Nadpis4"/>
        <w:spacing w:after="80"/>
        <w:rPr>
          <w:rFonts w:ascii="Goudy Old Style ATT" w:hAnsi="Goudy Old Style ATT"/>
          <w:spacing w:val="4"/>
        </w:rPr>
      </w:pPr>
      <w:bookmarkStart w:id="2" w:name="_Toc528061741"/>
      <w:r w:rsidRPr="000C45CC">
        <w:rPr>
          <w:rFonts w:ascii="Goudy Old Style ATT" w:hAnsi="Goudy Old Style ATT"/>
          <w:b w:val="0"/>
          <w:spacing w:val="4"/>
        </w:rPr>
        <w:t>„</w:t>
      </w:r>
      <w:r>
        <w:rPr>
          <w:rFonts w:ascii="Goudy Old Style ATT" w:hAnsi="Goudy Old Style ATT"/>
          <w:spacing w:val="4"/>
        </w:rPr>
        <w:t>Článek 4</w:t>
      </w:r>
      <w:bookmarkEnd w:id="2"/>
    </w:p>
    <w:p w:rsidR="000C45CC" w:rsidRDefault="000C45CC" w:rsidP="00DE5BEA">
      <w:pPr>
        <w:numPr>
          <w:ilvl w:val="0"/>
          <w:numId w:val="37"/>
        </w:numPr>
        <w:spacing w:after="80" w:line="276" w:lineRule="auto"/>
        <w:jc w:val="both"/>
        <w:rPr>
          <w:rFonts w:ascii="Goudy Old Style ATT" w:hAnsi="Goudy Old Style ATT"/>
          <w:color w:val="000000"/>
          <w:spacing w:val="-4"/>
        </w:rPr>
      </w:pPr>
      <w:r>
        <w:rPr>
          <w:rFonts w:ascii="Goudy Old Style ATT" w:hAnsi="Goudy Old Style ATT"/>
          <w:color w:val="000000"/>
          <w:spacing w:val="-4"/>
        </w:rPr>
        <w:t>V důvodové zprávě k návrhu právního předpisu zpracovatel uvede zhodnocení současného stavu a důvody pro novou právní úpravu.</w:t>
      </w:r>
    </w:p>
    <w:p w:rsidR="000C45CC" w:rsidRDefault="000C45CC" w:rsidP="00DE5BEA">
      <w:pPr>
        <w:numPr>
          <w:ilvl w:val="0"/>
          <w:numId w:val="37"/>
        </w:numPr>
        <w:spacing w:after="80" w:line="276" w:lineRule="auto"/>
        <w:jc w:val="both"/>
        <w:rPr>
          <w:rFonts w:ascii="Goudy Old Style ATT" w:hAnsi="Goudy Old Style ATT"/>
          <w:color w:val="000000"/>
          <w:spacing w:val="-4"/>
        </w:rPr>
      </w:pPr>
      <w:r>
        <w:rPr>
          <w:rFonts w:ascii="Goudy Old Style ATT" w:hAnsi="Goudy Old Style ATT"/>
          <w:color w:val="000000"/>
          <w:spacing w:val="-4"/>
        </w:rPr>
        <w:t>Je-li to opodstatněno předmětem nové právní úpravy, musí důvodová zpráva vysvětlovat podstatu nové právní úpravy i způsob jejího provádění, zejména kontroly dodržování, postihování jejího porušování, přehled nezbytných organizačně technických opatření včetně způsobu informování adresátů nové právní úpravy.</w:t>
      </w:r>
    </w:p>
    <w:p w:rsidR="000C45CC" w:rsidRDefault="000C45CC" w:rsidP="00DE5BEA">
      <w:pPr>
        <w:numPr>
          <w:ilvl w:val="0"/>
          <w:numId w:val="37"/>
        </w:numPr>
        <w:spacing w:after="80" w:line="276" w:lineRule="auto"/>
        <w:jc w:val="both"/>
        <w:rPr>
          <w:rFonts w:ascii="Goudy Old Style ATT" w:hAnsi="Goudy Old Style ATT"/>
          <w:color w:val="000000"/>
          <w:spacing w:val="-4"/>
        </w:rPr>
      </w:pPr>
      <w:r>
        <w:rPr>
          <w:rFonts w:ascii="Goudy Old Style ATT" w:hAnsi="Goudy Old Style ATT"/>
          <w:color w:val="000000"/>
          <w:spacing w:val="-4"/>
        </w:rPr>
        <w:t>Obsahuje-li návrh právního předpisu variantní řešení, musí být v důvodové zprávě popsány výhody i nevýhody navrhovaných variant.</w:t>
      </w:r>
    </w:p>
    <w:p w:rsidR="000C45CC" w:rsidRDefault="000C45CC" w:rsidP="00DE5BEA">
      <w:pPr>
        <w:numPr>
          <w:ilvl w:val="0"/>
          <w:numId w:val="37"/>
        </w:numPr>
        <w:spacing w:after="80" w:line="276" w:lineRule="auto"/>
        <w:jc w:val="both"/>
        <w:rPr>
          <w:rFonts w:ascii="Goudy Old Style ATT" w:hAnsi="Goudy Old Style ATT"/>
          <w:color w:val="000000"/>
          <w:spacing w:val="-4"/>
        </w:rPr>
      </w:pPr>
      <w:r>
        <w:rPr>
          <w:rFonts w:ascii="Goudy Old Style ATT" w:hAnsi="Goudy Old Style ATT"/>
          <w:color w:val="000000"/>
          <w:spacing w:val="-4"/>
        </w:rPr>
        <w:t xml:space="preserve">V důvodové zprávě k návrhu vyhlášky je zpracovatel povinen vždy uvést finanční a hospodářský dopad nové úpravy, a to nikoli pouze v roce, v němž nabyde účinnosti. </w:t>
      </w:r>
    </w:p>
    <w:p w:rsidR="000C45CC" w:rsidRDefault="000C45CC" w:rsidP="00DE5BEA">
      <w:pPr>
        <w:numPr>
          <w:ilvl w:val="0"/>
          <w:numId w:val="37"/>
        </w:numPr>
        <w:spacing w:after="240" w:line="276" w:lineRule="auto"/>
        <w:jc w:val="both"/>
        <w:rPr>
          <w:rFonts w:ascii="Goudy Old Style ATT" w:hAnsi="Goudy Old Style ATT"/>
          <w:color w:val="000000"/>
          <w:spacing w:val="-4"/>
        </w:rPr>
      </w:pPr>
      <w:r>
        <w:rPr>
          <w:rFonts w:ascii="Goudy Old Style ATT" w:hAnsi="Goudy Old Style ATT"/>
          <w:color w:val="000000"/>
          <w:spacing w:val="-4"/>
        </w:rPr>
        <w:t>Důvodová zpráva musí obsahovat též údaje o připomínkovém řízení a stanovisko právní komise, případně právního odboru. Zásadní stanoviska, která nejsou zapracována do variantních řešení, musí být v důvodové zprávě uvedena.“.</w:t>
      </w:r>
    </w:p>
    <w:p w:rsidR="000C45CC" w:rsidRDefault="00DE5BEA" w:rsidP="00C9600D">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příloze č. 4, čl. 5 odstavec 2 zní:</w:t>
      </w:r>
    </w:p>
    <w:p w:rsidR="00DE5BEA" w:rsidRPr="00A4372D" w:rsidRDefault="00DE5BEA" w:rsidP="00A4372D">
      <w:pPr>
        <w:spacing w:after="240" w:line="276" w:lineRule="auto"/>
        <w:ind w:firstLine="709"/>
        <w:jc w:val="both"/>
        <w:rPr>
          <w:rFonts w:ascii="Goudy Old Style ATT" w:hAnsi="Goudy Old Style ATT"/>
          <w:color w:val="000000"/>
          <w:spacing w:val="-4"/>
        </w:rPr>
      </w:pPr>
      <w:r>
        <w:rPr>
          <w:rFonts w:ascii="Goudy Old Style ATT" w:hAnsi="Goudy Old Style ATT"/>
          <w:color w:val="000000"/>
        </w:rPr>
        <w:t xml:space="preserve">„(2) </w:t>
      </w:r>
      <w:r w:rsidR="008F23F1">
        <w:rPr>
          <w:rFonts w:ascii="Goudy Old Style ATT" w:hAnsi="Goudy Old Style ATT"/>
          <w:color w:val="000000"/>
          <w:spacing w:val="-4"/>
        </w:rPr>
        <w:t xml:space="preserve">Po vyhlášení právního předpisu města zašle zpracovatel Právnímu a legislativnímu odboru magistrátu archivovaný originál právního předpisu k jeho založení do sbírky.  Dále zpracovatel zašle </w:t>
      </w:r>
      <w:r w:rsidR="008F23F1" w:rsidRPr="00CE7500">
        <w:rPr>
          <w:rFonts w:ascii="Goudy Old Style ATT" w:hAnsi="Goudy Old Style ATT"/>
          <w:color w:val="000000"/>
          <w:spacing w:val="-4"/>
        </w:rPr>
        <w:t>Právnímu a legislativnímu odboru magistrátu</w:t>
      </w:r>
      <w:r w:rsidR="008F23F1">
        <w:rPr>
          <w:rFonts w:ascii="Goudy Old Style ATT" w:hAnsi="Goudy Old Style ATT"/>
          <w:color w:val="000000"/>
          <w:spacing w:val="-4"/>
        </w:rPr>
        <w:t xml:space="preserve"> v elektronické podobě text právního předpisu k zajištění jeho </w:t>
      </w:r>
      <w:proofErr w:type="gramStart"/>
      <w:r w:rsidR="008F23F1">
        <w:rPr>
          <w:rFonts w:ascii="Goudy Old Style ATT" w:hAnsi="Goudy Old Style ATT"/>
          <w:color w:val="000000"/>
          <w:spacing w:val="-4"/>
        </w:rPr>
        <w:t>zveřejnění  na</w:t>
      </w:r>
      <w:proofErr w:type="gramEnd"/>
      <w:r w:rsidR="008F23F1">
        <w:rPr>
          <w:rFonts w:ascii="Goudy Old Style ATT" w:hAnsi="Goudy Old Style ATT"/>
          <w:color w:val="000000"/>
          <w:spacing w:val="-4"/>
        </w:rPr>
        <w:t xml:space="preserve"> internetu</w:t>
      </w:r>
      <w:r>
        <w:rPr>
          <w:rFonts w:ascii="Goudy Old Style ATT" w:hAnsi="Goudy Old Style ATT"/>
          <w:color w:val="000000"/>
          <w:spacing w:val="-4"/>
        </w:rPr>
        <w:t>.“.</w:t>
      </w:r>
    </w:p>
    <w:p w:rsidR="002F2D44" w:rsidRPr="008D5652" w:rsidRDefault="002F2D44" w:rsidP="00C9600D">
      <w:pPr>
        <w:numPr>
          <w:ilvl w:val="0"/>
          <w:numId w:val="1"/>
        </w:numPr>
        <w:spacing w:after="120"/>
        <w:ind w:firstLine="425"/>
        <w:jc w:val="both"/>
        <w:rPr>
          <w:rFonts w:ascii="Goudy Old Style ATT" w:hAnsi="Goudy Old Style ATT"/>
          <w:color w:val="000000"/>
        </w:rPr>
      </w:pPr>
      <w:r w:rsidRPr="008D5652">
        <w:rPr>
          <w:rFonts w:ascii="Goudy Old Style ATT" w:hAnsi="Goudy Old Style ATT"/>
          <w:color w:val="000000"/>
        </w:rPr>
        <w:lastRenderedPageBreak/>
        <w:t>V příloze č. 6, čl. 9 odst. 1 se slova „, pozemních komunikacích a provozu na nich“ nahrazují slovy „a provozu na pozemních komunikacích“.</w:t>
      </w:r>
    </w:p>
    <w:p w:rsidR="002F2D44" w:rsidRPr="008D5652" w:rsidRDefault="002F2D44" w:rsidP="00C9600D">
      <w:pPr>
        <w:numPr>
          <w:ilvl w:val="0"/>
          <w:numId w:val="1"/>
        </w:numPr>
        <w:spacing w:after="120"/>
        <w:ind w:firstLine="425"/>
        <w:jc w:val="both"/>
        <w:rPr>
          <w:rFonts w:ascii="Goudy Old Style ATT" w:hAnsi="Goudy Old Style ATT"/>
          <w:color w:val="000000"/>
        </w:rPr>
      </w:pPr>
      <w:r w:rsidRPr="008D5652">
        <w:rPr>
          <w:rFonts w:ascii="Goudy Old Style ATT" w:hAnsi="Goudy Old Style ATT"/>
          <w:color w:val="000000"/>
        </w:rPr>
        <w:t>V příloze č. 6, čl. 9 se za odstavec 1 vkládají nové odstavce 2 až 4, které zní:</w:t>
      </w:r>
    </w:p>
    <w:p w:rsidR="002F2D44" w:rsidRPr="008D5652" w:rsidRDefault="002F2D44" w:rsidP="002F2D44">
      <w:pPr>
        <w:pStyle w:val="Odstavecseseznamem"/>
        <w:spacing w:after="120" w:line="276" w:lineRule="auto"/>
        <w:ind w:left="0" w:firstLine="709"/>
        <w:jc w:val="both"/>
        <w:rPr>
          <w:color w:val="212121"/>
        </w:rPr>
      </w:pPr>
      <w:r w:rsidRPr="008D5652">
        <w:rPr>
          <w:rFonts w:ascii="Goudy Old Style ATT" w:hAnsi="Goudy Old Style ATT"/>
          <w:color w:val="000000"/>
        </w:rPr>
        <w:t xml:space="preserve">„(2) </w:t>
      </w:r>
      <w:r w:rsidRPr="008D5652">
        <w:rPr>
          <w:rFonts w:ascii="Goudy Old Style ATT" w:hAnsi="Goudy Old Style ATT"/>
          <w:color w:val="212121"/>
        </w:rPr>
        <w:t>Vykonávají působnost silničního správního úřadu a speciálního stavebního úřadu pro silnice II. a III. třídy.</w:t>
      </w:r>
    </w:p>
    <w:p w:rsidR="002F2D44" w:rsidRPr="008D5652" w:rsidRDefault="002F2D44" w:rsidP="002F2D44">
      <w:pPr>
        <w:pStyle w:val="Odstavecseseznamem"/>
        <w:numPr>
          <w:ilvl w:val="0"/>
          <w:numId w:val="40"/>
        </w:numPr>
        <w:spacing w:after="120" w:line="276" w:lineRule="auto"/>
        <w:jc w:val="both"/>
        <w:rPr>
          <w:color w:val="212121"/>
        </w:rPr>
      </w:pPr>
      <w:r w:rsidRPr="008D5652">
        <w:rPr>
          <w:rFonts w:ascii="Goudy Old Style ATT" w:hAnsi="Goudy Old Style ATT"/>
          <w:color w:val="212121"/>
        </w:rPr>
        <w:t>Plní úkoly obecního úřadu obce s rozšířenou působností podle zákona o pozemních komunikacích při projednávání správních deliktů</w:t>
      </w:r>
      <w:r w:rsidRPr="008D5652">
        <w:rPr>
          <w:rFonts w:ascii="Goudy Old Style ATT" w:hAnsi="Goudy Old Style ATT"/>
        </w:rPr>
        <w:t xml:space="preserve"> ve věcech dálnic a silnic</w:t>
      </w:r>
      <w:r w:rsidR="003C31F2">
        <w:rPr>
          <w:rFonts w:ascii="Goudy Old Style ATT" w:hAnsi="Goudy Old Style ATT"/>
        </w:rPr>
        <w:t xml:space="preserve"> </w:t>
      </w:r>
      <w:r w:rsidR="003C31F2" w:rsidRPr="003C31F2">
        <w:rPr>
          <w:rFonts w:ascii="Goudy Old Style ATT" w:hAnsi="Goudy Old Style ATT"/>
        </w:rPr>
        <w:t>a při projednávání správních deliktů ve věcech místních komunikací v oblasti kontrolního vážení vozidel</w:t>
      </w:r>
      <w:r w:rsidRPr="008D5652">
        <w:rPr>
          <w:rFonts w:ascii="Goudy Old Style ATT" w:hAnsi="Goudy Old Style ATT"/>
        </w:rPr>
        <w:t>.</w:t>
      </w:r>
    </w:p>
    <w:p w:rsidR="002F2D44" w:rsidRPr="008D5652" w:rsidRDefault="002F2D44" w:rsidP="002F2D44">
      <w:pPr>
        <w:pStyle w:val="Odstavecseseznamem"/>
        <w:numPr>
          <w:ilvl w:val="0"/>
          <w:numId w:val="40"/>
        </w:numPr>
        <w:spacing w:after="120" w:line="276" w:lineRule="auto"/>
        <w:jc w:val="both"/>
        <w:rPr>
          <w:rFonts w:ascii="Calibri" w:hAnsi="Calibri"/>
          <w:color w:val="212121"/>
        </w:rPr>
      </w:pPr>
      <w:r w:rsidRPr="008D5652">
        <w:rPr>
          <w:rFonts w:ascii="Goudy Old Style ATT" w:hAnsi="Goudy Old Style ATT"/>
          <w:color w:val="212121"/>
        </w:rPr>
        <w:t>Plní úkoly obecního úřadu obce s rozšířenou působností při uplatňování stanoviska k územním plánům, regulačním plánům a závazného stanoviska v územním řízení.“.</w:t>
      </w:r>
    </w:p>
    <w:p w:rsidR="002F2D44" w:rsidRPr="002F2D44" w:rsidRDefault="002F2D44" w:rsidP="002F2D44">
      <w:pPr>
        <w:pStyle w:val="Odstavecseseznamem"/>
        <w:spacing w:after="240" w:line="276" w:lineRule="auto"/>
        <w:ind w:left="709"/>
        <w:jc w:val="both"/>
        <w:rPr>
          <w:rFonts w:ascii="Calibri" w:hAnsi="Calibri"/>
          <w:color w:val="212121"/>
        </w:rPr>
      </w:pPr>
      <w:r w:rsidRPr="008D5652">
        <w:rPr>
          <w:rFonts w:ascii="Goudy Old Style ATT" w:hAnsi="Goudy Old Style ATT"/>
          <w:color w:val="212121"/>
        </w:rPr>
        <w:t>Dosavadní odstavce 2 a 3 se nově označují jako odstavce 5 a 6.</w:t>
      </w:r>
    </w:p>
    <w:p w:rsidR="003C31F2" w:rsidRDefault="003C31F2" w:rsidP="00C9600D">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příloze č. 6, čl. 9 se za odstavec 6 vkládá nový odstavec 7, který zní:</w:t>
      </w:r>
    </w:p>
    <w:p w:rsidR="003C31F2" w:rsidRPr="003C31F2" w:rsidRDefault="003C31F2" w:rsidP="003C31F2">
      <w:pPr>
        <w:spacing w:after="120" w:line="276" w:lineRule="auto"/>
        <w:ind w:firstLine="709"/>
        <w:jc w:val="both"/>
        <w:rPr>
          <w:rFonts w:ascii="Goudy Old Style ATT" w:hAnsi="Goudy Old Style ATT"/>
          <w:kern w:val="20"/>
        </w:rPr>
      </w:pPr>
      <w:r>
        <w:rPr>
          <w:rFonts w:ascii="Goudy Old Style ATT" w:hAnsi="Goudy Old Style ATT"/>
          <w:color w:val="000000"/>
        </w:rPr>
        <w:t xml:space="preserve">„(7) </w:t>
      </w:r>
      <w:r>
        <w:rPr>
          <w:rFonts w:ascii="Goudy Old Style ATT" w:hAnsi="Goudy Old Style ATT"/>
          <w:kern w:val="20"/>
        </w:rPr>
        <w:t>Vykonávají působnost silničního správního úřadu ve věci povolování zřízení přejezdu na neveřejné účelové komunikaci.“.</w:t>
      </w:r>
    </w:p>
    <w:p w:rsidR="003F3D02" w:rsidRDefault="003F3D02" w:rsidP="00C9600D">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příloze č. 6, čl. 12 odst. 2 poznámka pod čarou č. 33 zní:</w:t>
      </w:r>
    </w:p>
    <w:p w:rsidR="003F3D02" w:rsidRPr="003F3D02" w:rsidRDefault="003F3D02" w:rsidP="003F3D02">
      <w:pPr>
        <w:spacing w:after="120"/>
        <w:ind w:left="425"/>
        <w:jc w:val="both"/>
        <w:rPr>
          <w:rFonts w:ascii="Goudy Old Style ATT" w:hAnsi="Goudy Old Style ATT"/>
          <w:color w:val="000000"/>
        </w:rPr>
      </w:pPr>
      <w:r>
        <w:rPr>
          <w:rFonts w:ascii="Goudy Old Style ATT" w:hAnsi="Goudy Old Style ATT"/>
          <w:color w:val="000000"/>
        </w:rPr>
        <w:t>„</w:t>
      </w:r>
      <w:r>
        <w:rPr>
          <w:rFonts w:ascii="Goudy Old Style ATT" w:hAnsi="Goudy Old Style ATT"/>
          <w:color w:val="000000"/>
          <w:vertAlign w:val="superscript"/>
        </w:rPr>
        <w:t>33</w:t>
      </w:r>
      <w:r>
        <w:rPr>
          <w:rFonts w:ascii="Goudy Old Style ATT" w:hAnsi="Goudy Old Style ATT"/>
          <w:color w:val="000000"/>
        </w:rPr>
        <w:t xml:space="preserve"> Zákon č. 89/2012 Sb., občanský zákoník.“.</w:t>
      </w:r>
    </w:p>
    <w:p w:rsidR="002F2D44" w:rsidRPr="008D5652" w:rsidRDefault="002F2D44" w:rsidP="00C9600D">
      <w:pPr>
        <w:numPr>
          <w:ilvl w:val="0"/>
          <w:numId w:val="1"/>
        </w:numPr>
        <w:spacing w:after="120"/>
        <w:ind w:firstLine="425"/>
        <w:jc w:val="both"/>
        <w:rPr>
          <w:rFonts w:ascii="Goudy Old Style ATT" w:hAnsi="Goudy Old Style ATT"/>
          <w:color w:val="000000"/>
        </w:rPr>
      </w:pPr>
      <w:r w:rsidRPr="008D5652">
        <w:rPr>
          <w:rFonts w:ascii="Goudy Old Style ATT" w:hAnsi="Goudy Old Style ATT"/>
          <w:color w:val="000000"/>
        </w:rPr>
        <w:t>V příloze č. 7 článek 8 včetně nadpisu zní:</w:t>
      </w:r>
    </w:p>
    <w:p w:rsidR="002F2D44" w:rsidRPr="008D5652" w:rsidRDefault="002F2D44" w:rsidP="002F2D44">
      <w:pPr>
        <w:pStyle w:val="Nadpis4"/>
        <w:spacing w:before="240" w:after="120"/>
        <w:rPr>
          <w:rFonts w:ascii="Goudy Old Style ATT" w:hAnsi="Goudy Old Style ATT"/>
          <w:spacing w:val="4"/>
        </w:rPr>
      </w:pPr>
      <w:bookmarkStart w:id="3" w:name="_Toc465489640"/>
      <w:bookmarkStart w:id="4" w:name="_Toc466430554"/>
      <w:bookmarkStart w:id="5" w:name="_Toc528061781"/>
      <w:r w:rsidRPr="008D5652">
        <w:rPr>
          <w:rFonts w:ascii="Goudy Old Style ATT" w:hAnsi="Goudy Old Style ATT"/>
          <w:b w:val="0"/>
          <w:spacing w:val="4"/>
        </w:rPr>
        <w:t>„</w:t>
      </w:r>
      <w:r w:rsidRPr="008D5652">
        <w:rPr>
          <w:rFonts w:ascii="Goudy Old Style ATT" w:hAnsi="Goudy Old Style ATT"/>
          <w:spacing w:val="4"/>
        </w:rPr>
        <w:t>Článek 8</w:t>
      </w:r>
      <w:r w:rsidRPr="008D5652">
        <w:rPr>
          <w:rFonts w:ascii="Goudy Old Style ATT" w:hAnsi="Goudy Old Style ATT"/>
          <w:spacing w:val="4"/>
        </w:rPr>
        <w:br/>
        <w:t>Doprava a silniční hospodářství</w:t>
      </w:r>
      <w:bookmarkEnd w:id="3"/>
      <w:bookmarkEnd w:id="4"/>
      <w:bookmarkEnd w:id="5"/>
    </w:p>
    <w:p w:rsidR="003C31F2" w:rsidRPr="003C31F2" w:rsidRDefault="003C31F2" w:rsidP="003C31F2">
      <w:pPr>
        <w:pStyle w:val="Odstavecseseznamem"/>
        <w:spacing w:after="120"/>
        <w:ind w:left="0" w:firstLine="708"/>
        <w:jc w:val="both"/>
      </w:pPr>
      <w:r w:rsidRPr="003C31F2">
        <w:rPr>
          <w:rFonts w:ascii="Goudy Old Style ATT" w:hAnsi="Goudy Old Style ATT"/>
          <w:spacing w:val="-4"/>
        </w:rPr>
        <w:t>(1)</w:t>
      </w:r>
      <w:r w:rsidRPr="003C31F2">
        <w:rPr>
          <w:spacing w:val="-4"/>
          <w:sz w:val="14"/>
          <w:szCs w:val="14"/>
        </w:rPr>
        <w:t xml:space="preserve">   </w:t>
      </w:r>
      <w:r w:rsidRPr="003C31F2">
        <w:rPr>
          <w:rFonts w:ascii="Goudy Old Style ATT" w:hAnsi="Goudy Old Style ATT"/>
        </w:rPr>
        <w:t>Vykonávají působnost silničního správního úřadu pro místní komunikace a veřejně přístupné účelové pozemní komunikace.</w:t>
      </w:r>
    </w:p>
    <w:p w:rsidR="003C31F2" w:rsidRPr="003C31F2" w:rsidRDefault="003C31F2" w:rsidP="003C31F2">
      <w:pPr>
        <w:pStyle w:val="Odstavecseseznamem"/>
        <w:spacing w:after="120"/>
        <w:ind w:left="0" w:firstLine="708"/>
        <w:jc w:val="both"/>
      </w:pPr>
      <w:r w:rsidRPr="003C31F2">
        <w:rPr>
          <w:rFonts w:ascii="Goudy Old Style ATT" w:hAnsi="Goudy Old Style ATT"/>
          <w:spacing w:val="-4"/>
        </w:rPr>
        <w:t>(2)</w:t>
      </w:r>
      <w:r w:rsidRPr="003C31F2">
        <w:rPr>
          <w:spacing w:val="-4"/>
          <w:sz w:val="14"/>
          <w:szCs w:val="14"/>
        </w:rPr>
        <w:t xml:space="preserve">   </w:t>
      </w:r>
      <w:r w:rsidRPr="003C31F2">
        <w:rPr>
          <w:rFonts w:ascii="Goudy Old Style ATT" w:hAnsi="Goudy Old Style ATT"/>
        </w:rPr>
        <w:t>Plní úkoly obecního úřadu obce podle zákona o pozemních komunikacích při projednávání správních deliktů a úkoly obecního úřadu obce s rozšířenou působností podle zákona o pozemních komunikacích při projednávání správních deliktů ve věcech místních komunikací a veřejně přístupných účelových komunikací, s výjimkou správních deliktů v oblasti kontrolního vážení vozidel.</w:t>
      </w:r>
    </w:p>
    <w:p w:rsidR="003C31F2" w:rsidRPr="003C31F2" w:rsidRDefault="003C31F2" w:rsidP="003C31F2">
      <w:pPr>
        <w:pStyle w:val="Odstavecseseznamem"/>
        <w:spacing w:after="120"/>
        <w:ind w:left="0" w:firstLine="708"/>
        <w:jc w:val="both"/>
      </w:pPr>
      <w:r w:rsidRPr="003C31F2">
        <w:rPr>
          <w:rFonts w:ascii="Goudy Old Style ATT" w:hAnsi="Goudy Old Style ATT"/>
          <w:spacing w:val="-4"/>
        </w:rPr>
        <w:t>(3)</w:t>
      </w:r>
      <w:r w:rsidRPr="003C31F2">
        <w:rPr>
          <w:spacing w:val="-4"/>
          <w:sz w:val="14"/>
          <w:szCs w:val="14"/>
        </w:rPr>
        <w:t xml:space="preserve">   </w:t>
      </w:r>
      <w:r w:rsidRPr="003C31F2">
        <w:rPr>
          <w:rFonts w:ascii="Goudy Old Style ATT" w:hAnsi="Goudy Old Style ATT"/>
        </w:rPr>
        <w:t>Rozhodují o zařazení pozemní komunikace do ka</w:t>
      </w:r>
      <w:r>
        <w:rPr>
          <w:rFonts w:ascii="Goudy Old Style ATT" w:hAnsi="Goudy Old Style ATT"/>
        </w:rPr>
        <w:t>tegorie místních komunikací a o </w:t>
      </w:r>
      <w:r w:rsidRPr="003C31F2">
        <w:rPr>
          <w:rFonts w:ascii="Goudy Old Style ATT" w:hAnsi="Goudy Old Style ATT"/>
        </w:rPr>
        <w:t>vyřazení místních komunikací z této kategorie.</w:t>
      </w:r>
      <w:r>
        <w:rPr>
          <w:rFonts w:ascii="Goudy Old Style ATT" w:hAnsi="Goudy Old Style ATT"/>
        </w:rPr>
        <w:t>“.</w:t>
      </w:r>
    </w:p>
    <w:p w:rsidR="00DE5BEA" w:rsidRPr="00A4372D" w:rsidRDefault="00A4372D" w:rsidP="00C9600D">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příloze č. 7, čl. 10 odst. 3 se slova „, zbavených způsobilosti k právním úkonům nebo v této způsobilosti omezených“ nahrazuje slovy „a osob omezených ve svéprávnosti“.</w:t>
      </w:r>
    </w:p>
    <w:p w:rsidR="009C2FA6" w:rsidRDefault="009C2FA6">
      <w:pPr>
        <w:pStyle w:val="Zkladntext2"/>
        <w:keepNext/>
        <w:jc w:val="center"/>
        <w:rPr>
          <w:rFonts w:ascii="Goudy Old Style ATT" w:hAnsi="Goudy Old Style ATT"/>
          <w:b/>
        </w:rPr>
      </w:pPr>
    </w:p>
    <w:p w:rsidR="009C2FA6" w:rsidRDefault="009C2FA6">
      <w:pPr>
        <w:pStyle w:val="Zkladntext2"/>
        <w:keepNext/>
        <w:jc w:val="center"/>
        <w:rPr>
          <w:rFonts w:ascii="Goudy Old Style ATT" w:hAnsi="Goudy Old Style ATT"/>
          <w:b/>
        </w:rPr>
      </w:pPr>
    </w:p>
    <w:p w:rsidR="00762129" w:rsidRDefault="00762129">
      <w:pPr>
        <w:pStyle w:val="Zkladntext2"/>
        <w:keepNext/>
        <w:jc w:val="center"/>
        <w:rPr>
          <w:rFonts w:ascii="Goudy Old Style ATT" w:hAnsi="Goudy Old Style ATT"/>
          <w:b/>
        </w:rPr>
      </w:pPr>
      <w:r>
        <w:rPr>
          <w:rFonts w:ascii="Goudy Old Style ATT" w:hAnsi="Goudy Old Style ATT"/>
          <w:b/>
        </w:rPr>
        <w:t>Článek 2</w:t>
      </w:r>
    </w:p>
    <w:p w:rsidR="00762129" w:rsidRDefault="00762129">
      <w:pPr>
        <w:pStyle w:val="Zkladntext2"/>
        <w:keepNext/>
        <w:spacing w:after="120"/>
        <w:jc w:val="center"/>
        <w:rPr>
          <w:rFonts w:ascii="Goudy Old Style ATT" w:hAnsi="Goudy Old Style ATT"/>
          <w:b/>
        </w:rPr>
      </w:pPr>
      <w:r>
        <w:rPr>
          <w:rFonts w:ascii="Goudy Old Style ATT" w:hAnsi="Goudy Old Style ATT"/>
          <w:b/>
        </w:rPr>
        <w:t>Přechodná a závěrečná ustanovení</w:t>
      </w:r>
    </w:p>
    <w:p w:rsidR="000C6BCF" w:rsidRDefault="007E5B1A">
      <w:pPr>
        <w:pStyle w:val="Zkladntext2"/>
        <w:spacing w:after="120"/>
        <w:rPr>
          <w:rFonts w:ascii="Goudy Old Style ATT" w:hAnsi="Goudy Old Style ATT"/>
        </w:rPr>
      </w:pPr>
      <w:r>
        <w:rPr>
          <w:rFonts w:ascii="Goudy Old Style ATT" w:hAnsi="Goudy Old Style ATT"/>
        </w:rPr>
        <w:tab/>
        <w:t xml:space="preserve">(1) </w:t>
      </w:r>
      <w:r w:rsidR="00762129">
        <w:rPr>
          <w:rFonts w:ascii="Goudy Old Style ATT" w:hAnsi="Goudy Old Style ATT"/>
        </w:rPr>
        <w:t>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762129" w:rsidRDefault="007E5B1A">
      <w:pPr>
        <w:pStyle w:val="Zkladntext2"/>
        <w:spacing w:after="120"/>
        <w:rPr>
          <w:rFonts w:ascii="Goudy Old Style ATT" w:hAnsi="Goudy Old Style ATT"/>
        </w:rPr>
      </w:pPr>
      <w:r>
        <w:rPr>
          <w:rFonts w:ascii="Goudy Old Style ATT" w:hAnsi="Goudy Old Style ATT"/>
        </w:rPr>
        <w:lastRenderedPageBreak/>
        <w:tab/>
        <w:t xml:space="preserve">(2) </w:t>
      </w:r>
      <w:r w:rsidR="00762129">
        <w:rPr>
          <w:rFonts w:ascii="Goudy Old Style ATT" w:hAnsi="Goudy Old Style ATT"/>
        </w:rPr>
        <w:t>Správní, daňová a jiná řízení v přenesené působnosti orgánů města, zahájená před účinností této obecně závazné vyhlášky, se dokončí podle dosavadních předpisů, nestanoví-li zvláštní zákon jinak.</w:t>
      </w:r>
    </w:p>
    <w:p w:rsidR="00762129" w:rsidRDefault="007E5B1A">
      <w:pPr>
        <w:pStyle w:val="Zkladntext2"/>
        <w:spacing w:after="120"/>
        <w:rPr>
          <w:rFonts w:ascii="Goudy Old Style ATT" w:hAnsi="Goudy Old Style ATT"/>
        </w:rPr>
      </w:pPr>
      <w:r>
        <w:rPr>
          <w:rFonts w:ascii="Goudy Old Style ATT" w:hAnsi="Goudy Old Style ATT"/>
        </w:rPr>
        <w:tab/>
        <w:t xml:space="preserve">(3) </w:t>
      </w:r>
      <w:r w:rsidR="00762129">
        <w:rPr>
          <w:rFonts w:ascii="Goudy Old Style ATT" w:hAnsi="Goudy Old Style ATT"/>
        </w:rPr>
        <w:t>Tato vyhláška na</w:t>
      </w:r>
      <w:r w:rsidR="00A4372D">
        <w:rPr>
          <w:rFonts w:ascii="Goudy Old Style ATT" w:hAnsi="Goudy Old Style ATT"/>
        </w:rPr>
        <w:t xml:space="preserve">bývá účinnosti dne 1. ledna </w:t>
      </w:r>
      <w:r w:rsidR="00A4372D" w:rsidRPr="008D5652">
        <w:rPr>
          <w:rFonts w:ascii="Goudy Old Style ATT" w:hAnsi="Goudy Old Style ATT"/>
        </w:rPr>
        <w:t xml:space="preserve">2016 s výjimkou </w:t>
      </w:r>
      <w:r w:rsidR="006F497A" w:rsidRPr="008D5652">
        <w:rPr>
          <w:rFonts w:ascii="Goudy Old Style ATT" w:hAnsi="Goudy Old Style ATT"/>
        </w:rPr>
        <w:t xml:space="preserve">bodů </w:t>
      </w:r>
      <w:r w:rsidR="00C14BB3">
        <w:t>16</w:t>
      </w:r>
      <w:r w:rsidR="00C9600D" w:rsidRPr="008D5652">
        <w:t>.</w:t>
      </w:r>
      <w:r w:rsidR="00C14BB3">
        <w:t>, 17</w:t>
      </w:r>
      <w:r w:rsidR="00C9600D" w:rsidRPr="008D5652">
        <w:t>.</w:t>
      </w:r>
      <w:r w:rsidR="00C14BB3">
        <w:t>, 18</w:t>
      </w:r>
      <w:r w:rsidR="00742A3F">
        <w:t xml:space="preserve"> a </w:t>
      </w:r>
      <w:r w:rsidR="00C14BB3">
        <w:t>20</w:t>
      </w:r>
      <w:r w:rsidR="00C9600D" w:rsidRPr="008D5652">
        <w:t>.</w:t>
      </w:r>
      <w:r w:rsidR="00742A3F">
        <w:t xml:space="preserve"> </w:t>
      </w:r>
      <w:r w:rsidR="007A330D" w:rsidRPr="008D5652">
        <w:rPr>
          <w:rFonts w:ascii="Goudy Old Style ATT" w:hAnsi="Goudy Old Style ATT"/>
        </w:rPr>
        <w:t xml:space="preserve">v článku 1, které nabývají účinnosti 31. prosince 2015, </w:t>
      </w:r>
      <w:r w:rsidR="00107DFF" w:rsidRPr="00F159B8">
        <w:rPr>
          <w:rFonts w:ascii="Goudy Old Style ATT" w:hAnsi="Goudy Old Style ATT"/>
        </w:rPr>
        <w:t>s výjimkou bodu 9. v článku 1, který nabývá účinnosti 1. března 2016,</w:t>
      </w:r>
      <w:r w:rsidR="00107DFF">
        <w:rPr>
          <w:rFonts w:ascii="Goudy Old Style ATT" w:hAnsi="Goudy Old Style ATT"/>
        </w:rPr>
        <w:t xml:space="preserve"> </w:t>
      </w:r>
      <w:r w:rsidR="007A330D" w:rsidRPr="008D5652">
        <w:rPr>
          <w:rFonts w:ascii="Goudy Old Style ATT" w:hAnsi="Goudy Old Style ATT"/>
        </w:rPr>
        <w:t>a s výjimkou</w:t>
      </w:r>
      <w:r w:rsidR="007A330D">
        <w:rPr>
          <w:rFonts w:ascii="Goudy Old Style ATT" w:hAnsi="Goudy Old Style ATT"/>
        </w:rPr>
        <w:t xml:space="preserve"> </w:t>
      </w:r>
      <w:r w:rsidR="00742A3F">
        <w:rPr>
          <w:rFonts w:ascii="Goudy Old Style ATT" w:hAnsi="Goudy Old Style ATT"/>
        </w:rPr>
        <w:t>bodu 4</w:t>
      </w:r>
      <w:r w:rsidR="003B358C">
        <w:rPr>
          <w:rFonts w:ascii="Goudy Old Style ATT" w:hAnsi="Goudy Old Style ATT"/>
        </w:rPr>
        <w:t xml:space="preserve">. v článku </w:t>
      </w:r>
      <w:r w:rsidR="00A4372D">
        <w:rPr>
          <w:rFonts w:ascii="Goudy Old Style ATT" w:hAnsi="Goudy Old Style ATT"/>
        </w:rPr>
        <w:t xml:space="preserve">1, který nabývá účinnosti dne 1. </w:t>
      </w:r>
      <w:r w:rsidR="00694C89">
        <w:rPr>
          <w:rFonts w:ascii="Goudy Old Style ATT" w:hAnsi="Goudy Old Style ATT"/>
        </w:rPr>
        <w:t>dubna</w:t>
      </w:r>
      <w:r w:rsidR="00A4372D">
        <w:rPr>
          <w:rFonts w:ascii="Goudy Old Style ATT" w:hAnsi="Goudy Old Style ATT"/>
        </w:rPr>
        <w:t xml:space="preserve"> 2016</w:t>
      </w:r>
      <w:r w:rsidR="006A134C">
        <w:rPr>
          <w:rFonts w:ascii="Goudy Old Style ATT" w:hAnsi="Goudy Old Style ATT"/>
        </w:rPr>
        <w:t>.</w:t>
      </w:r>
    </w:p>
    <w:p w:rsidR="001C42D2" w:rsidRPr="00DE6F42" w:rsidRDefault="001C42D2">
      <w:pPr>
        <w:pStyle w:val="Zkladntext2"/>
        <w:spacing w:after="120"/>
        <w:rPr>
          <w:rFonts w:ascii="Goudy Old Style ATT" w:hAnsi="Goudy Old Style ATT"/>
        </w:rPr>
      </w:pPr>
    </w:p>
    <w:p w:rsidR="00DE6F42" w:rsidRDefault="00DE6F42">
      <w:pPr>
        <w:pStyle w:val="Zkladntext2"/>
        <w:tabs>
          <w:tab w:val="center" w:pos="2268"/>
          <w:tab w:val="center" w:pos="6804"/>
        </w:tabs>
        <w:rPr>
          <w:rFonts w:ascii="Goudy Old Style ATT" w:hAnsi="Goudy Old Style ATT"/>
          <w:b/>
        </w:rPr>
      </w:pPr>
    </w:p>
    <w:p w:rsidR="00762129" w:rsidRPr="00DC0B54" w:rsidRDefault="0039212F">
      <w:pPr>
        <w:pStyle w:val="Zkladntext2"/>
        <w:tabs>
          <w:tab w:val="center" w:pos="2268"/>
          <w:tab w:val="center" w:pos="6804"/>
        </w:tabs>
        <w:rPr>
          <w:rFonts w:ascii="Goudy Old Style ATT" w:hAnsi="Goudy Old Style ATT"/>
        </w:rPr>
      </w:pPr>
      <w:r>
        <w:rPr>
          <w:rFonts w:ascii="Goudy Old Style ATT" w:hAnsi="Goudy Old Style ATT"/>
          <w:b/>
        </w:rPr>
        <w:tab/>
      </w:r>
      <w:r w:rsidR="006A134C" w:rsidRPr="00DC0B54">
        <w:rPr>
          <w:rFonts w:ascii="Goudy Old Style ATT" w:hAnsi="Goudy Old Style ATT"/>
        </w:rPr>
        <w:t>………………………..</w:t>
      </w:r>
      <w:r w:rsidR="006A134C" w:rsidRPr="00DC0B54">
        <w:rPr>
          <w:rFonts w:ascii="Goudy Old Style ATT" w:hAnsi="Goudy Old Style ATT"/>
        </w:rPr>
        <w:tab/>
        <w:t>………………………….</w:t>
      </w:r>
    </w:p>
    <w:p w:rsidR="00DC0B54" w:rsidRPr="00DC0B54" w:rsidRDefault="00DC0B54">
      <w:pPr>
        <w:pStyle w:val="Zkladntext2"/>
        <w:tabs>
          <w:tab w:val="center" w:pos="2268"/>
          <w:tab w:val="center" w:pos="6804"/>
        </w:tabs>
        <w:spacing w:after="120"/>
        <w:rPr>
          <w:rFonts w:ascii="Goudy Old Style ATT" w:hAnsi="Goudy Old Style ATT"/>
        </w:rPr>
      </w:pPr>
      <w:r>
        <w:rPr>
          <w:rFonts w:ascii="Goudy Old Style ATT" w:hAnsi="Goudy Old Style ATT"/>
          <w:i/>
        </w:rPr>
        <w:t xml:space="preserve"> </w:t>
      </w:r>
      <w:r>
        <w:rPr>
          <w:rFonts w:ascii="Goudy Old Style ATT" w:hAnsi="Goudy Old Style ATT"/>
          <w:i/>
        </w:rPr>
        <w:tab/>
      </w:r>
      <w:r w:rsidRPr="00DC0B54">
        <w:rPr>
          <w:rFonts w:ascii="Goudy Old Style ATT" w:hAnsi="Goudy Old Style ATT"/>
        </w:rPr>
        <w:t xml:space="preserve">Martin </w:t>
      </w:r>
      <w:proofErr w:type="spellStart"/>
      <w:r w:rsidRPr="00DC0B54">
        <w:rPr>
          <w:rFonts w:ascii="Goudy Old Style ATT" w:hAnsi="Goudy Old Style ATT"/>
        </w:rPr>
        <w:t>Zrzavecký</w:t>
      </w:r>
      <w:proofErr w:type="spellEnd"/>
      <w:r w:rsidRPr="00DC0B54">
        <w:rPr>
          <w:rFonts w:ascii="Goudy Old Style ATT" w:hAnsi="Goudy Old Style ATT"/>
        </w:rPr>
        <w:t xml:space="preserve"> </w:t>
      </w:r>
      <w:r w:rsidRPr="00DC0B54">
        <w:rPr>
          <w:rFonts w:ascii="Goudy Old Style ATT" w:hAnsi="Goudy Old Style ATT"/>
        </w:rPr>
        <w:tab/>
        <w:t>Mgr. Martin Baxa</w:t>
      </w:r>
      <w:r w:rsidR="00A332DD" w:rsidRPr="00DC0B54">
        <w:rPr>
          <w:rFonts w:ascii="Goudy Old Style ATT" w:hAnsi="Goudy Old Style ATT"/>
        </w:rPr>
        <w:tab/>
      </w:r>
    </w:p>
    <w:p w:rsidR="00EC3645" w:rsidRDefault="00DC0B54">
      <w:pPr>
        <w:pStyle w:val="Zkladntext2"/>
        <w:tabs>
          <w:tab w:val="center" w:pos="2268"/>
          <w:tab w:val="center" w:pos="6804"/>
        </w:tabs>
        <w:spacing w:after="120"/>
        <w:rPr>
          <w:rFonts w:ascii="Goudy Old Style ATT" w:hAnsi="Goudy Old Style ATT"/>
          <w:i/>
        </w:rPr>
      </w:pPr>
      <w:r>
        <w:rPr>
          <w:rFonts w:ascii="Goudy Old Style ATT" w:hAnsi="Goudy Old Style ATT"/>
          <w:i/>
        </w:rPr>
        <w:tab/>
      </w:r>
      <w:r w:rsidR="00A332DD">
        <w:rPr>
          <w:rFonts w:ascii="Goudy Old Style ATT" w:hAnsi="Goudy Old Style ATT"/>
          <w:i/>
        </w:rPr>
        <w:t>primátor města</w:t>
      </w:r>
      <w:r w:rsidR="00A332DD">
        <w:rPr>
          <w:rFonts w:ascii="Goudy Old Style ATT" w:hAnsi="Goudy Old Style ATT"/>
          <w:i/>
        </w:rPr>
        <w:tab/>
      </w:r>
      <w:r w:rsidR="00A4372D">
        <w:rPr>
          <w:rFonts w:ascii="Goudy Old Style ATT" w:hAnsi="Goudy Old Style ATT"/>
          <w:i/>
        </w:rPr>
        <w:t xml:space="preserve">1. </w:t>
      </w:r>
      <w:r w:rsidR="00A332DD">
        <w:rPr>
          <w:rFonts w:ascii="Goudy Old Style ATT" w:hAnsi="Goudy Old Style ATT"/>
          <w:i/>
        </w:rPr>
        <w:t>náměst</w:t>
      </w:r>
      <w:r w:rsidR="00D202F4">
        <w:rPr>
          <w:rFonts w:ascii="Goudy Old Style ATT" w:hAnsi="Goudy Old Style ATT"/>
          <w:i/>
        </w:rPr>
        <w:t>e</w:t>
      </w:r>
      <w:r w:rsidR="00762129">
        <w:rPr>
          <w:rFonts w:ascii="Goudy Old Style ATT" w:hAnsi="Goudy Old Style ATT"/>
          <w:i/>
        </w:rPr>
        <w:t>k primátora</w:t>
      </w:r>
    </w:p>
    <w:p w:rsidR="00B64ACD" w:rsidRDefault="00B64ACD"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Default="001C39C3" w:rsidP="009032B9">
      <w:pPr>
        <w:pStyle w:val="Nzev"/>
        <w:jc w:val="left"/>
      </w:pPr>
    </w:p>
    <w:p w:rsidR="001C39C3" w:rsidRPr="001C39C3" w:rsidRDefault="001C39C3" w:rsidP="001C39C3">
      <w:r>
        <w:t>Na úřední desce vyvěšeno dne 14.12.2015</w:t>
      </w:r>
      <w:bookmarkStart w:id="6" w:name="_GoBack"/>
      <w:bookmarkEnd w:id="6"/>
    </w:p>
    <w:p w:rsidR="001C39C3" w:rsidRPr="00B64ACD" w:rsidRDefault="001C39C3" w:rsidP="009032B9">
      <w:pPr>
        <w:pStyle w:val="Nzev"/>
        <w:jc w:val="left"/>
      </w:pPr>
    </w:p>
    <w:sectPr w:rsidR="001C39C3" w:rsidRPr="00B64ACD" w:rsidSect="002C52A0">
      <w:headerReference w:type="default" r:id="rId8"/>
      <w:footerReference w:type="default" r:id="rId9"/>
      <w:pgSz w:w="11907" w:h="16840"/>
      <w:pgMar w:top="1304" w:right="1134" w:bottom="1304" w:left="1701" w:header="567"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4E8" w:rsidRDefault="000A54E8">
      <w:r>
        <w:separator/>
      </w:r>
    </w:p>
  </w:endnote>
  <w:endnote w:type="continuationSeparator" w:id="0">
    <w:p w:rsidR="000A54E8" w:rsidRDefault="000A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oudy Old Style ATT">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9F4" w:rsidRDefault="000949F4">
    <w:pPr>
      <w:pStyle w:val="Zpat"/>
      <w:jc w:val="center"/>
    </w:pPr>
    <w:r>
      <w:rPr>
        <w:i/>
        <w:sz w:val="16"/>
      </w:rPr>
      <w:t>~</w:t>
    </w:r>
    <w:r>
      <w:rPr>
        <w:rStyle w:val="slostrnky"/>
        <w:b/>
        <w:sz w:val="22"/>
      </w:rPr>
      <w:fldChar w:fldCharType="begin"/>
    </w:r>
    <w:r>
      <w:rPr>
        <w:rStyle w:val="slostrnky"/>
        <w:b/>
        <w:sz w:val="22"/>
      </w:rPr>
      <w:instrText xml:space="preserve"> PAGE </w:instrText>
    </w:r>
    <w:r>
      <w:rPr>
        <w:rStyle w:val="slostrnky"/>
        <w:b/>
        <w:sz w:val="22"/>
      </w:rPr>
      <w:fldChar w:fldCharType="separate"/>
    </w:r>
    <w:r w:rsidR="009032B9">
      <w:rPr>
        <w:rStyle w:val="slostrnky"/>
        <w:b/>
        <w:noProof/>
        <w:sz w:val="22"/>
      </w:rPr>
      <w:t>4</w:t>
    </w:r>
    <w:r>
      <w:rPr>
        <w:rStyle w:val="slostrnky"/>
        <w:b/>
        <w:sz w:val="22"/>
      </w:rPr>
      <w:fldChar w:fldCharType="end"/>
    </w:r>
    <w:r>
      <w:rPr>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4E8" w:rsidRDefault="000A54E8">
      <w:r>
        <w:separator/>
      </w:r>
    </w:p>
  </w:footnote>
  <w:footnote w:type="continuationSeparator" w:id="0">
    <w:p w:rsidR="000A54E8" w:rsidRDefault="000A5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9F4" w:rsidRDefault="000949F4">
    <w:pPr>
      <w:pStyle w:val="Zhlav"/>
      <w:rPr>
        <w:i/>
        <w:sz w:val="16"/>
      </w:rPr>
    </w:pPr>
    <w:r>
      <w:rPr>
        <w:i/>
        <w:sz w:val="16"/>
      </w:rPr>
      <w:t>V</w:t>
    </w:r>
    <w:r w:rsidR="00DE6C2D">
      <w:rPr>
        <w:i/>
        <w:sz w:val="16"/>
      </w:rPr>
      <w:t xml:space="preserve">yhláška č. </w:t>
    </w:r>
    <w:r w:rsidR="00733724">
      <w:rPr>
        <w:i/>
        <w:sz w:val="16"/>
      </w:rPr>
      <w:t>9</w:t>
    </w:r>
    <w:r w:rsidR="00DE6C2D">
      <w:rPr>
        <w:i/>
        <w:sz w:val="16"/>
      </w:rPr>
      <w:t>/2015</w:t>
    </w:r>
    <w:r w:rsidR="00F76464">
      <w:rPr>
        <w:i/>
        <w:sz w:val="16"/>
      </w:rPr>
      <w:t>,</w:t>
    </w:r>
    <w:r>
      <w:rPr>
        <w:i/>
        <w:sz w:val="16"/>
      </w:rPr>
      <w:t xml:space="preserve"> o změnách a doplnění vyhlášky č. 8/2001, Statut města,</w:t>
    </w:r>
    <w:r>
      <w:rPr>
        <w:i/>
        <w:sz w:val="16"/>
      </w:rPr>
      <w:tab/>
    </w:r>
  </w:p>
  <w:p w:rsidR="000949F4" w:rsidRDefault="000949F4">
    <w:pPr>
      <w:pStyle w:val="Zhlav"/>
      <w:rPr>
        <w:i/>
        <w:sz w:val="16"/>
      </w:rPr>
    </w:pPr>
    <w:r>
      <w:rPr>
        <w:i/>
        <w:sz w:val="16"/>
      </w:rPr>
      <w:t>ve znění vyhlášek č. 12/2002, 3/</w:t>
    </w:r>
    <w:proofErr w:type="gramStart"/>
    <w:r>
      <w:rPr>
        <w:i/>
        <w:sz w:val="16"/>
      </w:rPr>
      <w:t>2004,  20</w:t>
    </w:r>
    <w:proofErr w:type="gramEnd"/>
    <w:r>
      <w:rPr>
        <w:i/>
        <w:sz w:val="16"/>
      </w:rPr>
      <w:t>/2004, 17/2005, 14</w:t>
    </w:r>
    <w:r w:rsidR="00F76464">
      <w:rPr>
        <w:i/>
        <w:sz w:val="16"/>
      </w:rPr>
      <w:t xml:space="preserve">/2006, 20/2006, 1/2009, 3/2010, </w:t>
    </w:r>
    <w:r w:rsidR="00B2610B">
      <w:rPr>
        <w:i/>
        <w:sz w:val="16"/>
      </w:rPr>
      <w:t xml:space="preserve"> 14/2011, </w:t>
    </w:r>
    <w:r w:rsidR="00F76464">
      <w:rPr>
        <w:i/>
        <w:sz w:val="16"/>
      </w:rPr>
      <w:t xml:space="preserve"> 9/2012</w:t>
    </w:r>
    <w:r w:rsidR="001E6ACF">
      <w:rPr>
        <w:i/>
        <w:sz w:val="16"/>
      </w:rPr>
      <w:t xml:space="preserve">, </w:t>
    </w:r>
    <w:r w:rsidR="00B2610B">
      <w:rPr>
        <w:i/>
        <w:sz w:val="16"/>
      </w:rPr>
      <w:t>3/2013</w:t>
    </w:r>
    <w:r w:rsidR="00DE6C2D">
      <w:rPr>
        <w:i/>
        <w:sz w:val="16"/>
      </w:rPr>
      <w:t xml:space="preserve">, </w:t>
    </w:r>
    <w:r w:rsidR="001E6ACF">
      <w:rPr>
        <w:i/>
        <w:sz w:val="16"/>
      </w:rPr>
      <w:t>11/2013</w:t>
    </w:r>
    <w:r w:rsidR="00E47564">
      <w:rPr>
        <w:i/>
        <w:sz w:val="16"/>
      </w:rPr>
      <w:t xml:space="preserve">, </w:t>
    </w:r>
    <w:r w:rsidR="00DE6C2D">
      <w:rPr>
        <w:i/>
        <w:sz w:val="16"/>
      </w:rPr>
      <w:t>7/2014</w:t>
    </w:r>
    <w:r w:rsidR="00E47564">
      <w:rPr>
        <w:i/>
        <w:sz w:val="16"/>
      </w:rPr>
      <w:t xml:space="preserve"> a 4/2015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039A"/>
    <w:multiLevelType w:val="multilevel"/>
    <w:tmpl w:val="BAE8C7AC"/>
    <w:styleLink w:val="Novelizanbod1"/>
    <w:lvl w:ilvl="0">
      <w:start w:val="1"/>
      <w:numFmt w:val="decimal"/>
      <w:pStyle w:val="Novelizanbod"/>
      <w:lvlText w:val="%1."/>
      <w:lvlJc w:val="left"/>
      <w:pPr>
        <w:ind w:left="0" w:firstLine="0"/>
      </w:pPr>
      <w:rPr>
        <w:rFonts w:ascii="Times New Roman" w:hAnsi="Times New Roman"/>
      </w:rPr>
    </w:lvl>
    <w:lvl w:ilvl="1">
      <w:start w:val="1"/>
      <w:numFmt w:val="decimal"/>
      <w:lvlText w:val="%2."/>
      <w:lvlJc w:val="left"/>
      <w:pPr>
        <w:ind w:left="0" w:firstLine="0"/>
      </w:pPr>
      <w:rPr>
        <w:rFonts w:ascii="Times New Roman" w:hAnsi="Times New Roman"/>
      </w:rPr>
    </w:lvl>
    <w:lvl w:ilvl="2">
      <w:start w:val="1"/>
      <w:numFmt w:val="decimal"/>
      <w:lvlText w:val="%3."/>
      <w:lvlJc w:val="left"/>
      <w:pPr>
        <w:ind w:left="0" w:firstLine="0"/>
      </w:pPr>
      <w:rPr>
        <w:rFonts w:ascii="Times New Roman" w:hAnsi="Times New Roman"/>
      </w:rPr>
    </w:lvl>
    <w:lvl w:ilvl="3">
      <w:start w:val="1"/>
      <w:numFmt w:val="decimal"/>
      <w:lvlText w:val="%4."/>
      <w:lvlJc w:val="left"/>
      <w:pPr>
        <w:ind w:left="0" w:firstLine="0"/>
      </w:pPr>
      <w:rPr>
        <w:rFonts w:ascii="Times New Roman" w:hAnsi="Times New Roman"/>
      </w:rPr>
    </w:lvl>
    <w:lvl w:ilvl="4">
      <w:start w:val="1"/>
      <w:numFmt w:val="decimal"/>
      <w:lvlText w:val="%5."/>
      <w:lvlJc w:val="left"/>
      <w:pPr>
        <w:ind w:left="0" w:firstLine="0"/>
      </w:pPr>
      <w:rPr>
        <w:rFonts w:ascii="Times New Roman" w:hAnsi="Times New Roman"/>
      </w:rPr>
    </w:lvl>
    <w:lvl w:ilvl="5">
      <w:start w:val="1"/>
      <w:numFmt w:val="decimal"/>
      <w:lvlText w:val="%6."/>
      <w:lvlJc w:val="left"/>
      <w:pPr>
        <w:ind w:left="0" w:firstLine="0"/>
      </w:pPr>
      <w:rPr>
        <w:rFonts w:ascii="Times New Roman" w:hAnsi="Times New Roman"/>
      </w:rPr>
    </w:lvl>
    <w:lvl w:ilvl="6">
      <w:start w:val="1"/>
      <w:numFmt w:val="decimal"/>
      <w:lvlText w:val="%7."/>
      <w:lvlJc w:val="left"/>
      <w:pPr>
        <w:ind w:left="0" w:firstLine="0"/>
      </w:pPr>
      <w:rPr>
        <w:rFonts w:ascii="Times New Roman" w:hAnsi="Times New Roman"/>
      </w:rPr>
    </w:lvl>
    <w:lvl w:ilvl="7">
      <w:start w:val="1"/>
      <w:numFmt w:val="decimal"/>
      <w:lvlText w:val="%8."/>
      <w:lvlJc w:val="left"/>
      <w:pPr>
        <w:ind w:left="0" w:firstLine="0"/>
      </w:pPr>
      <w:rPr>
        <w:rFonts w:ascii="Times New Roman" w:hAnsi="Times New Roman"/>
      </w:rPr>
    </w:lvl>
    <w:lvl w:ilvl="8">
      <w:start w:val="1"/>
      <w:numFmt w:val="decimal"/>
      <w:lvlText w:val="%9."/>
      <w:lvlJc w:val="left"/>
      <w:pPr>
        <w:ind w:left="0" w:firstLine="0"/>
      </w:pPr>
      <w:rPr>
        <w:rFonts w:ascii="Times New Roman" w:hAnsi="Times New Roman"/>
      </w:rPr>
    </w:lvl>
  </w:abstractNum>
  <w:abstractNum w:abstractNumId="1" w15:restartNumberingAfterBreak="0">
    <w:nsid w:val="06785CDB"/>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96C2A"/>
    <w:multiLevelType w:val="multilevel"/>
    <w:tmpl w:val="CD0A7A10"/>
    <w:lvl w:ilvl="0">
      <w:start w:val="3"/>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D58A6"/>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1F8010C"/>
    <w:multiLevelType w:val="singleLevel"/>
    <w:tmpl w:val="3EC20748"/>
    <w:lvl w:ilvl="0">
      <w:start w:val="1"/>
      <w:numFmt w:val="decimal"/>
      <w:lvlText w:val="%1."/>
      <w:legacy w:legacy="1" w:legacySpace="0" w:legacyIndent="360"/>
      <w:lvlJc w:val="left"/>
      <w:pPr>
        <w:ind w:left="360" w:hanging="360"/>
      </w:pPr>
    </w:lvl>
  </w:abstractNum>
  <w:abstractNum w:abstractNumId="5" w15:restartNumberingAfterBreak="0">
    <w:nsid w:val="12B907A4"/>
    <w:multiLevelType w:val="hybridMultilevel"/>
    <w:tmpl w:val="77F0937E"/>
    <w:lvl w:ilvl="0" w:tplc="515A6E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F23A06"/>
    <w:multiLevelType w:val="hybridMultilevel"/>
    <w:tmpl w:val="01963852"/>
    <w:lvl w:ilvl="0" w:tplc="6FE4DCD2">
      <w:start w:val="1"/>
      <w:numFmt w:val="decimal"/>
      <w:lvlText w:val="%1."/>
      <w:lvlJc w:val="left"/>
      <w:pPr>
        <w:ind w:left="720" w:hanging="360"/>
      </w:pPr>
      <w:rPr>
        <w:rFonts w:ascii="Times New Roman" w:eastAsia="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D551EF"/>
    <w:multiLevelType w:val="hybridMultilevel"/>
    <w:tmpl w:val="F2F2BA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D0F3A"/>
    <w:multiLevelType w:val="hybridMultilevel"/>
    <w:tmpl w:val="9F8C246E"/>
    <w:lvl w:ilvl="0" w:tplc="1CDEF9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41140"/>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5541BEF"/>
    <w:multiLevelType w:val="hybridMultilevel"/>
    <w:tmpl w:val="95AA16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9D07D1"/>
    <w:multiLevelType w:val="hybridMultilevel"/>
    <w:tmpl w:val="FE0A495E"/>
    <w:lvl w:ilvl="0" w:tplc="6268BA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FD7B73"/>
    <w:multiLevelType w:val="hybridMultilevel"/>
    <w:tmpl w:val="4B2E78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AE45B5"/>
    <w:multiLevelType w:val="hybridMultilevel"/>
    <w:tmpl w:val="60FAE6A0"/>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E615045"/>
    <w:multiLevelType w:val="hybridMultilevel"/>
    <w:tmpl w:val="7A8A9422"/>
    <w:lvl w:ilvl="0" w:tplc="EDA6C0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BC523A"/>
    <w:multiLevelType w:val="hybridMultilevel"/>
    <w:tmpl w:val="C684704C"/>
    <w:lvl w:ilvl="0" w:tplc="0405000F">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454A82"/>
    <w:multiLevelType w:val="hybridMultilevel"/>
    <w:tmpl w:val="E480C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12856"/>
    <w:multiLevelType w:val="hybridMultilevel"/>
    <w:tmpl w:val="15664EC2"/>
    <w:lvl w:ilvl="0" w:tplc="DAC42CB4">
      <w:start w:val="1"/>
      <w:numFmt w:val="decimal"/>
      <w:lvlText w:val="%1."/>
      <w:lvlJc w:val="left"/>
      <w:pPr>
        <w:ind w:left="720" w:hanging="360"/>
      </w:pPr>
      <w:rPr>
        <w:rFonts w:ascii="Times New Roman" w:eastAsia="Times New Roman" w:hAnsi="Times New Roman" w:hint="default"/>
        <w:color w:val="00206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8079CB"/>
    <w:multiLevelType w:val="hybridMultilevel"/>
    <w:tmpl w:val="8B9C5C2E"/>
    <w:lvl w:ilvl="0" w:tplc="389E6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906FCD"/>
    <w:multiLevelType w:val="hybridMultilevel"/>
    <w:tmpl w:val="977AC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EE0D7F"/>
    <w:multiLevelType w:val="singleLevel"/>
    <w:tmpl w:val="3EC20748"/>
    <w:lvl w:ilvl="0">
      <w:start w:val="1"/>
      <w:numFmt w:val="decimal"/>
      <w:lvlText w:val="%1."/>
      <w:legacy w:legacy="1" w:legacySpace="0" w:legacyIndent="360"/>
      <w:lvlJc w:val="left"/>
      <w:pPr>
        <w:ind w:left="360" w:hanging="360"/>
      </w:pPr>
    </w:lvl>
  </w:abstractNum>
  <w:abstractNum w:abstractNumId="21" w15:restartNumberingAfterBreak="0">
    <w:nsid w:val="53675D02"/>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4C1914"/>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65378BF"/>
    <w:multiLevelType w:val="hybridMultilevel"/>
    <w:tmpl w:val="39BE95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C12B11"/>
    <w:multiLevelType w:val="hybridMultilevel"/>
    <w:tmpl w:val="CF82459A"/>
    <w:lvl w:ilvl="0" w:tplc="BCB634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26" w15:restartNumberingAfterBreak="0">
    <w:nsid w:val="5B6F05E1"/>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17B72E4"/>
    <w:multiLevelType w:val="hybridMultilevel"/>
    <w:tmpl w:val="D97AAFB4"/>
    <w:lvl w:ilvl="0" w:tplc="4810DCDE">
      <w:numFmt w:val="bullet"/>
      <w:lvlText w:val="-"/>
      <w:lvlJc w:val="left"/>
      <w:pPr>
        <w:ind w:left="720" w:hanging="360"/>
      </w:pPr>
      <w:rPr>
        <w:rFonts w:ascii="Goudy Old Style ATT" w:eastAsia="Times New Roman" w:hAnsi="Goudy Old Style AT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8D3C5E"/>
    <w:multiLevelType w:val="hybridMultilevel"/>
    <w:tmpl w:val="47ACE87E"/>
    <w:lvl w:ilvl="0" w:tplc="9A16A7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2F7AAC"/>
    <w:multiLevelType w:val="hybridMultilevel"/>
    <w:tmpl w:val="F356D556"/>
    <w:lvl w:ilvl="0" w:tplc="DD1AC2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0B079C"/>
    <w:multiLevelType w:val="multilevel"/>
    <w:tmpl w:val="C9CE5E48"/>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Goudy Old Style ATT" w:eastAsia="Times New Roman" w:hAnsi="Goudy Old Style ATT" w:cs="Times New Roman"/>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FB65E0A"/>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12445AA"/>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6D0562F"/>
    <w:multiLevelType w:val="multilevel"/>
    <w:tmpl w:val="6304EACC"/>
    <w:lvl w:ilvl="0">
      <w:start w:val="1"/>
      <w:numFmt w:val="decimal"/>
      <w:suff w:val="space"/>
      <w:lvlText w:val="(%1)"/>
      <w:lvlJc w:val="left"/>
      <w:pPr>
        <w:ind w:left="0" w:firstLine="709"/>
      </w:pPr>
      <w:rPr>
        <w:rFonts w:ascii="Times New Roman" w:hAnsi="Times New Roman" w:cs="Times New Roman" w:hint="default"/>
        <w:b w:val="0"/>
        <w:i w:val="0"/>
        <w:color w:val="000000"/>
        <w:sz w:val="24"/>
      </w:rPr>
    </w:lvl>
    <w:lvl w:ilvl="1">
      <w:start w:val="1"/>
      <w:numFmt w:val="lowerLetter"/>
      <w:lvlText w:val="%2)"/>
      <w:lvlJc w:val="left"/>
      <w:pPr>
        <w:tabs>
          <w:tab w:val="num" w:pos="737"/>
        </w:tabs>
        <w:ind w:left="737" w:hanging="453"/>
      </w:pPr>
      <w:rPr>
        <w:rFonts w:ascii="Times New Roman" w:hAnsi="Times New Roman" w:cs="Times New Roman" w:hint="default"/>
        <w:b w:val="0"/>
        <w:i w:val="0"/>
        <w:color w:val="000000"/>
        <w:sz w:val="24"/>
      </w:rPr>
    </w:lvl>
    <w:lvl w:ilvl="2">
      <w:start w:val="1"/>
      <w:numFmt w:val="ordinal"/>
      <w:lvlText w:val="%3"/>
      <w:lvlJc w:val="left"/>
      <w:pPr>
        <w:tabs>
          <w:tab w:val="num" w:pos="1457"/>
        </w:tabs>
        <w:ind w:left="1247" w:hanging="510"/>
      </w:pPr>
      <w:rPr>
        <w:rFonts w:ascii="Times New Roman" w:hAnsi="Times New Roman" w:cs="Times New Roman" w:hint="default"/>
        <w:b w:val="0"/>
        <w:i w:val="0"/>
        <w:color w:val="00000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7AD73C9"/>
    <w:multiLevelType w:val="hybridMultilevel"/>
    <w:tmpl w:val="79C4FA8A"/>
    <w:lvl w:ilvl="0" w:tplc="36E20DE2">
      <w:start w:val="1"/>
      <w:numFmt w:val="decimal"/>
      <w:lvlText w:val="%1)"/>
      <w:lvlJc w:val="left"/>
      <w:pPr>
        <w:ind w:left="720" w:hanging="360"/>
      </w:pPr>
      <w:rPr>
        <w:rFonts w:ascii="Goudy Old Style ATT" w:eastAsia="Times New Roman" w:hAnsi="Goudy Old Style ATT"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7E55A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8790FE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0F5A44"/>
    <w:multiLevelType w:val="hybridMultilevel"/>
    <w:tmpl w:val="8E087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FD065E"/>
    <w:multiLevelType w:val="hybridMultilevel"/>
    <w:tmpl w:val="E602665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D811EA0"/>
    <w:multiLevelType w:val="hybridMultilevel"/>
    <w:tmpl w:val="61C64E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903EEA"/>
    <w:multiLevelType w:val="hybridMultilevel"/>
    <w:tmpl w:val="96BAC3C2"/>
    <w:lvl w:ilvl="0" w:tplc="D1CC38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FE475E"/>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5"/>
  </w:num>
  <w:num w:numId="2">
    <w:abstractNumId w:val="3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num>
  <w:num w:numId="6">
    <w:abstractNumId w:val="3"/>
  </w:num>
  <w:num w:numId="7">
    <w:abstractNumId w:val="35"/>
  </w:num>
  <w:num w:numId="8">
    <w:abstractNumId w:val="26"/>
  </w:num>
  <w:num w:numId="9">
    <w:abstractNumId w:val="32"/>
  </w:num>
  <w:num w:numId="10">
    <w:abstractNumId w:val="39"/>
  </w:num>
  <w:num w:numId="11">
    <w:abstractNumId w:val="36"/>
  </w:num>
  <w:num w:numId="12">
    <w:abstractNumId w:val="1"/>
  </w:num>
  <w:num w:numId="13">
    <w:abstractNumId w:val="4"/>
  </w:num>
  <w:num w:numId="14">
    <w:abstractNumId w:val="9"/>
  </w:num>
  <w:num w:numId="15">
    <w:abstractNumId w:val="21"/>
  </w:num>
  <w:num w:numId="16">
    <w:abstractNumId w:val="7"/>
  </w:num>
  <w:num w:numId="17">
    <w:abstractNumId w:val="10"/>
  </w:num>
  <w:num w:numId="18">
    <w:abstractNumId w:val="23"/>
  </w:num>
  <w:num w:numId="19">
    <w:abstractNumId w:val="37"/>
  </w:num>
  <w:num w:numId="20">
    <w:abstractNumId w:val="12"/>
  </w:num>
  <w:num w:numId="21">
    <w:abstractNumId w:val="19"/>
  </w:num>
  <w:num w:numId="22">
    <w:abstractNumId w:val="17"/>
  </w:num>
  <w:num w:numId="23">
    <w:abstractNumId w:val="6"/>
  </w:num>
  <w:num w:numId="24">
    <w:abstractNumId w:val="16"/>
  </w:num>
  <w:num w:numId="25">
    <w:abstractNumId w:val="13"/>
  </w:num>
  <w:num w:numId="26">
    <w:abstractNumId w:val="18"/>
  </w:num>
  <w:num w:numId="27">
    <w:abstractNumId w:val="29"/>
  </w:num>
  <w:num w:numId="28">
    <w:abstractNumId w:val="24"/>
  </w:num>
  <w:num w:numId="29">
    <w:abstractNumId w:val="14"/>
  </w:num>
  <w:num w:numId="30">
    <w:abstractNumId w:val="8"/>
  </w:num>
  <w:num w:numId="31">
    <w:abstractNumId w:val="28"/>
  </w:num>
  <w:num w:numId="32">
    <w:abstractNumId w:val="40"/>
  </w:num>
  <w:num w:numId="33">
    <w:abstractNumId w:val="5"/>
  </w:num>
  <w:num w:numId="34">
    <w:abstractNumId w:val="11"/>
  </w:num>
  <w:num w:numId="35">
    <w:abstractNumId w:val="27"/>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41"/>
  </w:num>
  <w:num w:numId="39">
    <w:abstractNumId w:val="22"/>
  </w:num>
  <w:num w:numId="40">
    <w:abstractNumId w:val="2"/>
  </w:num>
  <w:num w:numId="41">
    <w:abstractNumId w:val="0"/>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6B"/>
    <w:rsid w:val="00006B85"/>
    <w:rsid w:val="00020D4E"/>
    <w:rsid w:val="0002220D"/>
    <w:rsid w:val="00026FCD"/>
    <w:rsid w:val="0003220D"/>
    <w:rsid w:val="000356BF"/>
    <w:rsid w:val="0004411B"/>
    <w:rsid w:val="00061303"/>
    <w:rsid w:val="00061F5A"/>
    <w:rsid w:val="00062532"/>
    <w:rsid w:val="00073087"/>
    <w:rsid w:val="00080594"/>
    <w:rsid w:val="000827A5"/>
    <w:rsid w:val="000949F4"/>
    <w:rsid w:val="00095696"/>
    <w:rsid w:val="00097E74"/>
    <w:rsid w:val="000A54E8"/>
    <w:rsid w:val="000B571E"/>
    <w:rsid w:val="000C2016"/>
    <w:rsid w:val="000C45CC"/>
    <w:rsid w:val="000C6BCF"/>
    <w:rsid w:val="000C714D"/>
    <w:rsid w:val="000D18CB"/>
    <w:rsid w:val="000D5AC8"/>
    <w:rsid w:val="000D65C3"/>
    <w:rsid w:val="000E47E1"/>
    <w:rsid w:val="000E6654"/>
    <w:rsid w:val="000F3E23"/>
    <w:rsid w:val="00107DFF"/>
    <w:rsid w:val="0011435B"/>
    <w:rsid w:val="001155D5"/>
    <w:rsid w:val="00123B6B"/>
    <w:rsid w:val="00124A7C"/>
    <w:rsid w:val="001265D9"/>
    <w:rsid w:val="00126B19"/>
    <w:rsid w:val="00126FCD"/>
    <w:rsid w:val="00160FAB"/>
    <w:rsid w:val="00161267"/>
    <w:rsid w:val="00166B7F"/>
    <w:rsid w:val="0017079B"/>
    <w:rsid w:val="00177AE5"/>
    <w:rsid w:val="001800D4"/>
    <w:rsid w:val="001815D9"/>
    <w:rsid w:val="001818DD"/>
    <w:rsid w:val="00192FD9"/>
    <w:rsid w:val="001A083A"/>
    <w:rsid w:val="001A2426"/>
    <w:rsid w:val="001A2D05"/>
    <w:rsid w:val="001B5B40"/>
    <w:rsid w:val="001C0B68"/>
    <w:rsid w:val="001C39C3"/>
    <w:rsid w:val="001C42D2"/>
    <w:rsid w:val="001D4E35"/>
    <w:rsid w:val="001D7716"/>
    <w:rsid w:val="001E6ACF"/>
    <w:rsid w:val="001F04F3"/>
    <w:rsid w:val="001F3A54"/>
    <w:rsid w:val="002110F8"/>
    <w:rsid w:val="00221E88"/>
    <w:rsid w:val="00224E64"/>
    <w:rsid w:val="00230A2E"/>
    <w:rsid w:val="002330FF"/>
    <w:rsid w:val="002349B8"/>
    <w:rsid w:val="002370A5"/>
    <w:rsid w:val="00243587"/>
    <w:rsid w:val="00243E02"/>
    <w:rsid w:val="0025452D"/>
    <w:rsid w:val="00265DA8"/>
    <w:rsid w:val="00267C9C"/>
    <w:rsid w:val="00272EDA"/>
    <w:rsid w:val="00275837"/>
    <w:rsid w:val="00276550"/>
    <w:rsid w:val="00291A9A"/>
    <w:rsid w:val="002A0638"/>
    <w:rsid w:val="002A609D"/>
    <w:rsid w:val="002B23BC"/>
    <w:rsid w:val="002B5AF3"/>
    <w:rsid w:val="002B5DA3"/>
    <w:rsid w:val="002B65C9"/>
    <w:rsid w:val="002C31BE"/>
    <w:rsid w:val="002C4123"/>
    <w:rsid w:val="002C4D82"/>
    <w:rsid w:val="002C52A0"/>
    <w:rsid w:val="002C6997"/>
    <w:rsid w:val="002D2FA2"/>
    <w:rsid w:val="002E05F3"/>
    <w:rsid w:val="002E1E6A"/>
    <w:rsid w:val="002F2D44"/>
    <w:rsid w:val="002F6EAC"/>
    <w:rsid w:val="0030016E"/>
    <w:rsid w:val="00302D61"/>
    <w:rsid w:val="00306C41"/>
    <w:rsid w:val="00314B49"/>
    <w:rsid w:val="0031550C"/>
    <w:rsid w:val="00331136"/>
    <w:rsid w:val="00334F69"/>
    <w:rsid w:val="00341C75"/>
    <w:rsid w:val="00343D4A"/>
    <w:rsid w:val="00353083"/>
    <w:rsid w:val="00354F15"/>
    <w:rsid w:val="003563DC"/>
    <w:rsid w:val="00380412"/>
    <w:rsid w:val="00387E03"/>
    <w:rsid w:val="003900BB"/>
    <w:rsid w:val="0039212F"/>
    <w:rsid w:val="00397B42"/>
    <w:rsid w:val="003A038B"/>
    <w:rsid w:val="003B358C"/>
    <w:rsid w:val="003B36BB"/>
    <w:rsid w:val="003B702D"/>
    <w:rsid w:val="003B78EC"/>
    <w:rsid w:val="003C02E7"/>
    <w:rsid w:val="003C31F2"/>
    <w:rsid w:val="003C4195"/>
    <w:rsid w:val="003D122B"/>
    <w:rsid w:val="003D4EEE"/>
    <w:rsid w:val="003F2CEC"/>
    <w:rsid w:val="003F3D02"/>
    <w:rsid w:val="004129A9"/>
    <w:rsid w:val="00430468"/>
    <w:rsid w:val="00431F9C"/>
    <w:rsid w:val="004335F5"/>
    <w:rsid w:val="00446825"/>
    <w:rsid w:val="00446FDA"/>
    <w:rsid w:val="004652ED"/>
    <w:rsid w:val="00467F6C"/>
    <w:rsid w:val="00482B4E"/>
    <w:rsid w:val="0048310D"/>
    <w:rsid w:val="004866D7"/>
    <w:rsid w:val="00494AE5"/>
    <w:rsid w:val="00494DEB"/>
    <w:rsid w:val="004B11AF"/>
    <w:rsid w:val="004B36B1"/>
    <w:rsid w:val="004C22F9"/>
    <w:rsid w:val="004C498B"/>
    <w:rsid w:val="004C6C59"/>
    <w:rsid w:val="004E27D6"/>
    <w:rsid w:val="004E3C0C"/>
    <w:rsid w:val="00500F21"/>
    <w:rsid w:val="00501286"/>
    <w:rsid w:val="00502408"/>
    <w:rsid w:val="00503927"/>
    <w:rsid w:val="00512C18"/>
    <w:rsid w:val="005159BC"/>
    <w:rsid w:val="00521699"/>
    <w:rsid w:val="00523DF3"/>
    <w:rsid w:val="00525AC6"/>
    <w:rsid w:val="00527082"/>
    <w:rsid w:val="0053562A"/>
    <w:rsid w:val="00535D6B"/>
    <w:rsid w:val="00544C4A"/>
    <w:rsid w:val="00544EB3"/>
    <w:rsid w:val="00550725"/>
    <w:rsid w:val="00553E30"/>
    <w:rsid w:val="0056479D"/>
    <w:rsid w:val="005727DB"/>
    <w:rsid w:val="005830E8"/>
    <w:rsid w:val="00585E3D"/>
    <w:rsid w:val="00590A2D"/>
    <w:rsid w:val="005922AA"/>
    <w:rsid w:val="005B6981"/>
    <w:rsid w:val="005C3B40"/>
    <w:rsid w:val="005C4C16"/>
    <w:rsid w:val="005D3DA0"/>
    <w:rsid w:val="005F1A30"/>
    <w:rsid w:val="005F7E51"/>
    <w:rsid w:val="00601343"/>
    <w:rsid w:val="00611CB6"/>
    <w:rsid w:val="00614791"/>
    <w:rsid w:val="00616047"/>
    <w:rsid w:val="00620044"/>
    <w:rsid w:val="00625A9B"/>
    <w:rsid w:val="0063637F"/>
    <w:rsid w:val="00641175"/>
    <w:rsid w:val="00656A18"/>
    <w:rsid w:val="00667344"/>
    <w:rsid w:val="00677934"/>
    <w:rsid w:val="00680237"/>
    <w:rsid w:val="0068216B"/>
    <w:rsid w:val="00687E4B"/>
    <w:rsid w:val="00694192"/>
    <w:rsid w:val="00694C89"/>
    <w:rsid w:val="00697D20"/>
    <w:rsid w:val="006A134C"/>
    <w:rsid w:val="006A1AF1"/>
    <w:rsid w:val="006A568F"/>
    <w:rsid w:val="006A581C"/>
    <w:rsid w:val="006A76D0"/>
    <w:rsid w:val="006B02FA"/>
    <w:rsid w:val="006C1B40"/>
    <w:rsid w:val="006C1D6A"/>
    <w:rsid w:val="006C45A1"/>
    <w:rsid w:val="006D7F28"/>
    <w:rsid w:val="006E364A"/>
    <w:rsid w:val="006E40E7"/>
    <w:rsid w:val="006E6D22"/>
    <w:rsid w:val="006F3767"/>
    <w:rsid w:val="006F4244"/>
    <w:rsid w:val="006F497A"/>
    <w:rsid w:val="00710CC3"/>
    <w:rsid w:val="00711663"/>
    <w:rsid w:val="0071672D"/>
    <w:rsid w:val="00721DFD"/>
    <w:rsid w:val="0072285A"/>
    <w:rsid w:val="00724977"/>
    <w:rsid w:val="00733724"/>
    <w:rsid w:val="00742A3F"/>
    <w:rsid w:val="00744557"/>
    <w:rsid w:val="00752421"/>
    <w:rsid w:val="0076041E"/>
    <w:rsid w:val="00762129"/>
    <w:rsid w:val="00763264"/>
    <w:rsid w:val="0076503A"/>
    <w:rsid w:val="0076759E"/>
    <w:rsid w:val="007741BC"/>
    <w:rsid w:val="00780593"/>
    <w:rsid w:val="007877A5"/>
    <w:rsid w:val="0079046A"/>
    <w:rsid w:val="00793D00"/>
    <w:rsid w:val="00794F62"/>
    <w:rsid w:val="007A330D"/>
    <w:rsid w:val="007A6EAA"/>
    <w:rsid w:val="007B595F"/>
    <w:rsid w:val="007D4F21"/>
    <w:rsid w:val="007D54CE"/>
    <w:rsid w:val="007E1716"/>
    <w:rsid w:val="007E5B1A"/>
    <w:rsid w:val="007F11A2"/>
    <w:rsid w:val="007F3000"/>
    <w:rsid w:val="008110A1"/>
    <w:rsid w:val="00820A1F"/>
    <w:rsid w:val="00821353"/>
    <w:rsid w:val="00832364"/>
    <w:rsid w:val="00841097"/>
    <w:rsid w:val="00842FB8"/>
    <w:rsid w:val="008450EA"/>
    <w:rsid w:val="00863845"/>
    <w:rsid w:val="00875808"/>
    <w:rsid w:val="00876533"/>
    <w:rsid w:val="00894BCD"/>
    <w:rsid w:val="008C0379"/>
    <w:rsid w:val="008C4CA7"/>
    <w:rsid w:val="008C60F7"/>
    <w:rsid w:val="008D0EEF"/>
    <w:rsid w:val="008D1931"/>
    <w:rsid w:val="008D5652"/>
    <w:rsid w:val="008D729F"/>
    <w:rsid w:val="008E26FC"/>
    <w:rsid w:val="008E52E3"/>
    <w:rsid w:val="008F23F1"/>
    <w:rsid w:val="008F6A87"/>
    <w:rsid w:val="009032B9"/>
    <w:rsid w:val="0090794B"/>
    <w:rsid w:val="009111C0"/>
    <w:rsid w:val="0091206D"/>
    <w:rsid w:val="00916689"/>
    <w:rsid w:val="00925B2A"/>
    <w:rsid w:val="009375A4"/>
    <w:rsid w:val="00942B2A"/>
    <w:rsid w:val="009623AA"/>
    <w:rsid w:val="00972625"/>
    <w:rsid w:val="009734B3"/>
    <w:rsid w:val="00984364"/>
    <w:rsid w:val="0098525C"/>
    <w:rsid w:val="00987161"/>
    <w:rsid w:val="009A3C9E"/>
    <w:rsid w:val="009A4A48"/>
    <w:rsid w:val="009B0EA6"/>
    <w:rsid w:val="009B21A5"/>
    <w:rsid w:val="009C0D3F"/>
    <w:rsid w:val="009C2FA6"/>
    <w:rsid w:val="009D3733"/>
    <w:rsid w:val="009D5E7C"/>
    <w:rsid w:val="009D6736"/>
    <w:rsid w:val="009E515D"/>
    <w:rsid w:val="00A00B7E"/>
    <w:rsid w:val="00A0195D"/>
    <w:rsid w:val="00A01FCC"/>
    <w:rsid w:val="00A17F44"/>
    <w:rsid w:val="00A251E2"/>
    <w:rsid w:val="00A27B17"/>
    <w:rsid w:val="00A317C9"/>
    <w:rsid w:val="00A332DD"/>
    <w:rsid w:val="00A349B7"/>
    <w:rsid w:val="00A37175"/>
    <w:rsid w:val="00A37F8A"/>
    <w:rsid w:val="00A4372D"/>
    <w:rsid w:val="00A44036"/>
    <w:rsid w:val="00A47DC4"/>
    <w:rsid w:val="00A62E6B"/>
    <w:rsid w:val="00A645E0"/>
    <w:rsid w:val="00A67357"/>
    <w:rsid w:val="00A85515"/>
    <w:rsid w:val="00A9355F"/>
    <w:rsid w:val="00A9527F"/>
    <w:rsid w:val="00AA0013"/>
    <w:rsid w:val="00AA1D34"/>
    <w:rsid w:val="00AA2A81"/>
    <w:rsid w:val="00AA75C5"/>
    <w:rsid w:val="00AB0C9E"/>
    <w:rsid w:val="00AC1078"/>
    <w:rsid w:val="00AC1791"/>
    <w:rsid w:val="00AC3ACC"/>
    <w:rsid w:val="00AC60C7"/>
    <w:rsid w:val="00AD5F29"/>
    <w:rsid w:val="00AF0A49"/>
    <w:rsid w:val="00AF37BC"/>
    <w:rsid w:val="00AF45F7"/>
    <w:rsid w:val="00B1264C"/>
    <w:rsid w:val="00B20D44"/>
    <w:rsid w:val="00B23ED5"/>
    <w:rsid w:val="00B2610B"/>
    <w:rsid w:val="00B265DB"/>
    <w:rsid w:val="00B320C3"/>
    <w:rsid w:val="00B44C48"/>
    <w:rsid w:val="00B50B3A"/>
    <w:rsid w:val="00B64ACD"/>
    <w:rsid w:val="00B76D35"/>
    <w:rsid w:val="00B80C83"/>
    <w:rsid w:val="00B80E07"/>
    <w:rsid w:val="00B90F08"/>
    <w:rsid w:val="00B92977"/>
    <w:rsid w:val="00BA1A3C"/>
    <w:rsid w:val="00BB1B34"/>
    <w:rsid w:val="00BB1DA2"/>
    <w:rsid w:val="00BB2B47"/>
    <w:rsid w:val="00BB3B19"/>
    <w:rsid w:val="00BC0C69"/>
    <w:rsid w:val="00BC1754"/>
    <w:rsid w:val="00BC5C1E"/>
    <w:rsid w:val="00BC617F"/>
    <w:rsid w:val="00BE3E8D"/>
    <w:rsid w:val="00BE4388"/>
    <w:rsid w:val="00C14BB3"/>
    <w:rsid w:val="00C1547D"/>
    <w:rsid w:val="00C2050A"/>
    <w:rsid w:val="00C231D7"/>
    <w:rsid w:val="00C23F08"/>
    <w:rsid w:val="00C37C7B"/>
    <w:rsid w:val="00C42A94"/>
    <w:rsid w:val="00C55CAA"/>
    <w:rsid w:val="00C70493"/>
    <w:rsid w:val="00C70BBB"/>
    <w:rsid w:val="00C7550C"/>
    <w:rsid w:val="00C75B6B"/>
    <w:rsid w:val="00C8249B"/>
    <w:rsid w:val="00C85B68"/>
    <w:rsid w:val="00C9600D"/>
    <w:rsid w:val="00CB43FC"/>
    <w:rsid w:val="00CB4904"/>
    <w:rsid w:val="00CB6811"/>
    <w:rsid w:val="00CB6BCC"/>
    <w:rsid w:val="00CC2BEF"/>
    <w:rsid w:val="00CC4DE4"/>
    <w:rsid w:val="00CC7C90"/>
    <w:rsid w:val="00CE0479"/>
    <w:rsid w:val="00CE7145"/>
    <w:rsid w:val="00CF7C40"/>
    <w:rsid w:val="00D01221"/>
    <w:rsid w:val="00D026B6"/>
    <w:rsid w:val="00D02F2E"/>
    <w:rsid w:val="00D037B4"/>
    <w:rsid w:val="00D202F4"/>
    <w:rsid w:val="00D22FCF"/>
    <w:rsid w:val="00D44A3D"/>
    <w:rsid w:val="00D46552"/>
    <w:rsid w:val="00D5646D"/>
    <w:rsid w:val="00D564D0"/>
    <w:rsid w:val="00D646E4"/>
    <w:rsid w:val="00D70479"/>
    <w:rsid w:val="00D77BDA"/>
    <w:rsid w:val="00D82AEF"/>
    <w:rsid w:val="00D82F73"/>
    <w:rsid w:val="00D83C87"/>
    <w:rsid w:val="00DA07E9"/>
    <w:rsid w:val="00DB50CD"/>
    <w:rsid w:val="00DB65CC"/>
    <w:rsid w:val="00DC0B54"/>
    <w:rsid w:val="00DC2018"/>
    <w:rsid w:val="00DC409F"/>
    <w:rsid w:val="00DC5BD0"/>
    <w:rsid w:val="00DD57C4"/>
    <w:rsid w:val="00DE0445"/>
    <w:rsid w:val="00DE481B"/>
    <w:rsid w:val="00DE5BEA"/>
    <w:rsid w:val="00DE6C2D"/>
    <w:rsid w:val="00DE6F42"/>
    <w:rsid w:val="00DF04F0"/>
    <w:rsid w:val="00DF0ED4"/>
    <w:rsid w:val="00DF4A17"/>
    <w:rsid w:val="00E01A1F"/>
    <w:rsid w:val="00E01E01"/>
    <w:rsid w:val="00E02B98"/>
    <w:rsid w:val="00E10EDB"/>
    <w:rsid w:val="00E11F04"/>
    <w:rsid w:val="00E13466"/>
    <w:rsid w:val="00E15134"/>
    <w:rsid w:val="00E17A60"/>
    <w:rsid w:val="00E23676"/>
    <w:rsid w:val="00E23816"/>
    <w:rsid w:val="00E448C6"/>
    <w:rsid w:val="00E47564"/>
    <w:rsid w:val="00E47D86"/>
    <w:rsid w:val="00E5470B"/>
    <w:rsid w:val="00E744D4"/>
    <w:rsid w:val="00E749C1"/>
    <w:rsid w:val="00E75AB0"/>
    <w:rsid w:val="00E8691B"/>
    <w:rsid w:val="00E97C25"/>
    <w:rsid w:val="00EA40CA"/>
    <w:rsid w:val="00EA5F1E"/>
    <w:rsid w:val="00EA7CB7"/>
    <w:rsid w:val="00EB362C"/>
    <w:rsid w:val="00EC3645"/>
    <w:rsid w:val="00EC56A3"/>
    <w:rsid w:val="00ED01E9"/>
    <w:rsid w:val="00ED0B7F"/>
    <w:rsid w:val="00ED30E5"/>
    <w:rsid w:val="00ED4757"/>
    <w:rsid w:val="00EE6FCC"/>
    <w:rsid w:val="00F0098D"/>
    <w:rsid w:val="00F02CC3"/>
    <w:rsid w:val="00F159B8"/>
    <w:rsid w:val="00F17EF6"/>
    <w:rsid w:val="00F30ADD"/>
    <w:rsid w:val="00F323F7"/>
    <w:rsid w:val="00F37430"/>
    <w:rsid w:val="00F40A32"/>
    <w:rsid w:val="00F42EB4"/>
    <w:rsid w:val="00F470CF"/>
    <w:rsid w:val="00F53F98"/>
    <w:rsid w:val="00F663BD"/>
    <w:rsid w:val="00F665B6"/>
    <w:rsid w:val="00F67735"/>
    <w:rsid w:val="00F73A4B"/>
    <w:rsid w:val="00F7488F"/>
    <w:rsid w:val="00F76464"/>
    <w:rsid w:val="00F84B58"/>
    <w:rsid w:val="00F90AFF"/>
    <w:rsid w:val="00F9579E"/>
    <w:rsid w:val="00F96B8F"/>
    <w:rsid w:val="00FA36F4"/>
    <w:rsid w:val="00FA4BED"/>
    <w:rsid w:val="00FA7CEB"/>
    <w:rsid w:val="00FB3828"/>
    <w:rsid w:val="00FB7216"/>
    <w:rsid w:val="00FC7F65"/>
    <w:rsid w:val="00FE159B"/>
    <w:rsid w:val="00FE3AA4"/>
    <w:rsid w:val="00FE46F8"/>
    <w:rsid w:val="00FE4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8FB35"/>
  <w15:docId w15:val="{8FB390C6-61D2-43B2-9A03-9CBDC79C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unhideWhenUsed/>
    <w:qFormat/>
    <w:rsid w:val="00F96B8F"/>
    <w:pPr>
      <w:keepNext/>
      <w:keepLines/>
      <w:spacing w:before="200" w:line="276" w:lineRule="auto"/>
      <w:outlineLvl w:val="1"/>
    </w:pPr>
    <w:rPr>
      <w:rFonts w:ascii="Cambria" w:hAnsi="Cambria"/>
      <w:b/>
      <w:bCs/>
      <w:color w:val="4F81BD"/>
      <w:sz w:val="26"/>
      <w:szCs w:val="26"/>
      <w:lang w:eastAsia="en-US"/>
    </w:rPr>
  </w:style>
  <w:style w:type="paragraph" w:styleId="Nadpis3">
    <w:name w:val="heading 3"/>
    <w:basedOn w:val="Normln"/>
    <w:next w:val="Normln"/>
    <w:qFormat/>
    <w:pPr>
      <w:keepNext/>
      <w:spacing w:before="120" w:after="120"/>
      <w:jc w:val="center"/>
      <w:outlineLvl w:val="2"/>
    </w:pPr>
    <w:rPr>
      <w:b/>
      <w:spacing w:val="12"/>
      <w:kern w:val="20"/>
    </w:rPr>
  </w:style>
  <w:style w:type="paragraph" w:styleId="Nadpis4">
    <w:name w:val="heading 4"/>
    <w:basedOn w:val="Normln"/>
    <w:next w:val="Normln"/>
    <w:qFormat/>
    <w:pPr>
      <w:keepNext/>
      <w:jc w:val="center"/>
      <w:outlineLvl w:val="3"/>
    </w:pPr>
    <w:rPr>
      <w:b/>
    </w:rPr>
  </w:style>
  <w:style w:type="paragraph" w:styleId="Nadpis8">
    <w:name w:val="heading 8"/>
    <w:basedOn w:val="Normln"/>
    <w:next w:val="Normln"/>
    <w:qFormat/>
    <w:pPr>
      <w:keepNext/>
      <w:jc w:val="center"/>
      <w:outlineLvl w:val="7"/>
    </w:pPr>
    <w:rPr>
      <w:rFonts w:ascii="Goudy Old Style ATT" w:hAnsi="Goudy Old Style ATT"/>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pomnky">
    <w:name w:val="připomínky"/>
    <w:rPr>
      <w:rFonts w:ascii="Century Schoolbook" w:hAnsi="Century Schoolbook"/>
      <w:color w:val="FF0000"/>
      <w:sz w:val="24"/>
    </w:rPr>
  </w:style>
  <w:style w:type="character" w:customStyle="1" w:styleId="poznmka">
    <w:name w:val="poznámka"/>
    <w:rPr>
      <w:rFonts w:ascii="Century Schoolbook" w:hAnsi="Century Schoolbook"/>
      <w:i/>
      <w:color w:val="FF0000"/>
      <w:sz w:val="22"/>
    </w:rPr>
  </w:style>
  <w:style w:type="character" w:customStyle="1" w:styleId="pipomnka">
    <w:name w:val="připomínka"/>
    <w:rPr>
      <w:rFonts w:ascii="Garamond" w:hAnsi="Garamond"/>
      <w:b/>
      <w:i/>
      <w:color w:val="800000"/>
      <w:spacing w:val="2"/>
      <w:sz w:val="22"/>
      <w:bdr w:val="none" w:sz="0" w:space="0" w:color="auto"/>
      <w:shd w:val="pct70" w:color="FFFFFF" w:fill="FFFF00"/>
    </w:rPr>
  </w:style>
  <w:style w:type="paragraph" w:styleId="Nzev">
    <w:name w:val="Title"/>
    <w:basedOn w:val="Normln"/>
    <w:link w:val="NzevChar"/>
    <w:qFormat/>
    <w:pPr>
      <w:spacing w:after="120"/>
      <w:jc w:val="center"/>
      <w:outlineLvl w:val="0"/>
    </w:pPr>
    <w:rPr>
      <w:rFonts w:ascii="Goudy Old Style ATT" w:hAnsi="Goudy Old Style ATT"/>
      <w:b/>
      <w:smallCaps/>
      <w:color w:val="000000"/>
      <w:spacing w:val="20"/>
      <w:sz w:val="30"/>
    </w:rPr>
  </w:style>
  <w:style w:type="paragraph" w:styleId="Zkladntext2">
    <w:name w:val="Body Text 2"/>
    <w:basedOn w:val="Normln"/>
    <w:pPr>
      <w:jc w:val="both"/>
    </w:pPr>
    <w:rPr>
      <w:color w:val="000000"/>
    </w:rPr>
  </w:style>
  <w:style w:type="paragraph" w:styleId="Zkladntextodsazen">
    <w:name w:val="Body Text Indent"/>
    <w:basedOn w:val="Normln"/>
    <w:pPr>
      <w:spacing w:after="80"/>
      <w:ind w:left="709" w:hanging="425"/>
      <w:jc w:val="both"/>
    </w:pPr>
    <w:rPr>
      <w:rFonts w:ascii="Goudy Old Style ATT" w:hAnsi="Goudy Old Style ATT"/>
      <w:color w:val="000000"/>
    </w:rPr>
  </w:style>
  <w:style w:type="paragraph" w:styleId="Textpoznpodarou">
    <w:name w:val="footnote text"/>
    <w:basedOn w:val="Normln"/>
    <w:link w:val="TextpoznpodarouChar"/>
    <w:semiHidden/>
    <w:rPr>
      <w:sz w:val="20"/>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pPr>
      <w:autoSpaceDE w:val="0"/>
      <w:autoSpaceDN w:val="0"/>
      <w:adjustRightInd w:val="0"/>
      <w:jc w:val="both"/>
    </w:pPr>
  </w:style>
  <w:style w:type="character" w:styleId="Znakapoznpodarou">
    <w:name w:val="footnote reference"/>
    <w:uiPriority w:val="99"/>
    <w:semiHidden/>
    <w:rsid w:val="00F0098D"/>
    <w:rPr>
      <w:vertAlign w:val="superscript"/>
    </w:rPr>
  </w:style>
  <w:style w:type="paragraph" w:styleId="Textbubliny">
    <w:name w:val="Balloon Text"/>
    <w:basedOn w:val="Normln"/>
    <w:link w:val="TextbublinyChar"/>
    <w:uiPriority w:val="99"/>
    <w:semiHidden/>
    <w:rsid w:val="000E47E1"/>
    <w:rPr>
      <w:rFonts w:ascii="Tahoma" w:hAnsi="Tahoma" w:cs="Tahoma"/>
      <w:sz w:val="16"/>
      <w:szCs w:val="16"/>
    </w:rPr>
  </w:style>
  <w:style w:type="paragraph" w:styleId="Textkomente">
    <w:name w:val="annotation text"/>
    <w:basedOn w:val="Normln"/>
    <w:link w:val="TextkomenteChar"/>
    <w:uiPriority w:val="99"/>
    <w:rsid w:val="00314B49"/>
    <w:rPr>
      <w:sz w:val="20"/>
      <w:szCs w:val="20"/>
    </w:rPr>
  </w:style>
  <w:style w:type="character" w:styleId="Odkaznakoment">
    <w:name w:val="annotation reference"/>
    <w:uiPriority w:val="99"/>
    <w:semiHidden/>
    <w:rsid w:val="009D3733"/>
    <w:rPr>
      <w:sz w:val="16"/>
      <w:szCs w:val="16"/>
    </w:rPr>
  </w:style>
  <w:style w:type="paragraph" w:styleId="Pedmtkomente">
    <w:name w:val="annotation subject"/>
    <w:basedOn w:val="Textkomente"/>
    <w:next w:val="Textkomente"/>
    <w:semiHidden/>
    <w:rsid w:val="009D3733"/>
    <w:rPr>
      <w:b/>
      <w:bCs/>
    </w:rPr>
  </w:style>
  <w:style w:type="character" w:customStyle="1" w:styleId="tomasek">
    <w:name w:val="tomasek"/>
    <w:semiHidden/>
    <w:rsid w:val="000C6BCF"/>
    <w:rPr>
      <w:rFonts w:ascii="Arial" w:hAnsi="Arial" w:cs="Arial"/>
      <w:color w:val="000080"/>
      <w:sz w:val="20"/>
      <w:szCs w:val="20"/>
    </w:rPr>
  </w:style>
  <w:style w:type="character" w:customStyle="1" w:styleId="TextkomenteChar">
    <w:name w:val="Text komentáře Char"/>
    <w:link w:val="Textkomente"/>
    <w:uiPriority w:val="99"/>
    <w:rsid w:val="00CC7C90"/>
  </w:style>
  <w:style w:type="paragraph" w:styleId="Odstavecseseznamem">
    <w:name w:val="List Paragraph"/>
    <w:basedOn w:val="Normln"/>
    <w:uiPriority w:val="34"/>
    <w:qFormat/>
    <w:rsid w:val="00387E03"/>
    <w:pPr>
      <w:ind w:left="708"/>
    </w:pPr>
  </w:style>
  <w:style w:type="character" w:customStyle="1" w:styleId="TextpoznpodarouChar">
    <w:name w:val="Text pozn. pod čarou Char"/>
    <w:link w:val="Textpoznpodarou"/>
    <w:uiPriority w:val="99"/>
    <w:semiHidden/>
    <w:rsid w:val="00F76464"/>
    <w:rPr>
      <w:szCs w:val="24"/>
    </w:rPr>
  </w:style>
  <w:style w:type="character" w:customStyle="1" w:styleId="Nadpis2Char">
    <w:name w:val="Nadpis 2 Char"/>
    <w:link w:val="Nadpis2"/>
    <w:uiPriority w:val="9"/>
    <w:rsid w:val="00F96B8F"/>
    <w:rPr>
      <w:rFonts w:ascii="Cambria" w:hAnsi="Cambria"/>
      <w:b/>
      <w:bCs/>
      <w:color w:val="4F81BD"/>
      <w:sz w:val="26"/>
      <w:szCs w:val="26"/>
      <w:lang w:eastAsia="en-US"/>
    </w:rPr>
  </w:style>
  <w:style w:type="numbering" w:customStyle="1" w:styleId="Bezseznamu1">
    <w:name w:val="Bez seznamu1"/>
    <w:next w:val="Bezseznamu"/>
    <w:uiPriority w:val="99"/>
    <w:semiHidden/>
    <w:unhideWhenUsed/>
    <w:rsid w:val="00F96B8F"/>
  </w:style>
  <w:style w:type="character" w:customStyle="1" w:styleId="TextbublinyChar">
    <w:name w:val="Text bubliny Char"/>
    <w:link w:val="Textbubliny"/>
    <w:uiPriority w:val="99"/>
    <w:semiHidden/>
    <w:rsid w:val="00F96B8F"/>
    <w:rPr>
      <w:rFonts w:ascii="Tahoma" w:hAnsi="Tahoma" w:cs="Tahoma"/>
      <w:sz w:val="16"/>
      <w:szCs w:val="16"/>
    </w:rPr>
  </w:style>
  <w:style w:type="character" w:customStyle="1" w:styleId="NzevChar">
    <w:name w:val="Název Char"/>
    <w:link w:val="Nzev"/>
    <w:rsid w:val="005F1A30"/>
    <w:rPr>
      <w:rFonts w:ascii="Goudy Old Style ATT" w:hAnsi="Goudy Old Style ATT"/>
      <w:b/>
      <w:smallCaps/>
      <w:color w:val="000000"/>
      <w:spacing w:val="20"/>
      <w:sz w:val="30"/>
      <w:szCs w:val="24"/>
    </w:rPr>
  </w:style>
  <w:style w:type="paragraph" w:customStyle="1" w:styleId="Novelizanbod">
    <w:name w:val="Novelizační bod"/>
    <w:basedOn w:val="Normln"/>
    <w:rsid w:val="00FA36F4"/>
    <w:pPr>
      <w:keepNext/>
      <w:numPr>
        <w:numId w:val="41"/>
      </w:numPr>
      <w:tabs>
        <w:tab w:val="num" w:pos="700"/>
      </w:tabs>
      <w:autoSpaceDN w:val="0"/>
      <w:spacing w:before="482" w:after="119"/>
      <w:ind w:firstLine="340"/>
      <w:jc w:val="both"/>
    </w:pPr>
    <w:rPr>
      <w:rFonts w:eastAsia="Calibri"/>
      <w:lang w:eastAsia="zh-CN"/>
    </w:rPr>
  </w:style>
  <w:style w:type="numbering" w:customStyle="1" w:styleId="Novelizanbod1">
    <w:name w:val="Novelizační bod_1"/>
    <w:rsid w:val="00FA36F4"/>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5914">
      <w:bodyDiv w:val="1"/>
      <w:marLeft w:val="0"/>
      <w:marRight w:val="0"/>
      <w:marTop w:val="0"/>
      <w:marBottom w:val="0"/>
      <w:divBdr>
        <w:top w:val="none" w:sz="0" w:space="0" w:color="auto"/>
        <w:left w:val="none" w:sz="0" w:space="0" w:color="auto"/>
        <w:bottom w:val="none" w:sz="0" w:space="0" w:color="auto"/>
        <w:right w:val="none" w:sz="0" w:space="0" w:color="auto"/>
      </w:divBdr>
    </w:div>
    <w:div w:id="475075344">
      <w:bodyDiv w:val="1"/>
      <w:marLeft w:val="0"/>
      <w:marRight w:val="0"/>
      <w:marTop w:val="0"/>
      <w:marBottom w:val="0"/>
      <w:divBdr>
        <w:top w:val="none" w:sz="0" w:space="0" w:color="auto"/>
        <w:left w:val="none" w:sz="0" w:space="0" w:color="auto"/>
        <w:bottom w:val="none" w:sz="0" w:space="0" w:color="auto"/>
        <w:right w:val="none" w:sz="0" w:space="0" w:color="auto"/>
      </w:divBdr>
    </w:div>
    <w:div w:id="679433329">
      <w:bodyDiv w:val="1"/>
      <w:marLeft w:val="0"/>
      <w:marRight w:val="0"/>
      <w:marTop w:val="0"/>
      <w:marBottom w:val="0"/>
      <w:divBdr>
        <w:top w:val="none" w:sz="0" w:space="0" w:color="auto"/>
        <w:left w:val="none" w:sz="0" w:space="0" w:color="auto"/>
        <w:bottom w:val="none" w:sz="0" w:space="0" w:color="auto"/>
        <w:right w:val="none" w:sz="0" w:space="0" w:color="auto"/>
      </w:divBdr>
    </w:div>
    <w:div w:id="1279988339">
      <w:bodyDiv w:val="1"/>
      <w:marLeft w:val="0"/>
      <w:marRight w:val="0"/>
      <w:marTop w:val="0"/>
      <w:marBottom w:val="0"/>
      <w:divBdr>
        <w:top w:val="none" w:sz="0" w:space="0" w:color="auto"/>
        <w:left w:val="none" w:sz="0" w:space="0" w:color="auto"/>
        <w:bottom w:val="none" w:sz="0" w:space="0" w:color="auto"/>
        <w:right w:val="none" w:sz="0" w:space="0" w:color="auto"/>
      </w:divBdr>
    </w:div>
    <w:div w:id="1795833106">
      <w:bodyDiv w:val="1"/>
      <w:marLeft w:val="0"/>
      <w:marRight w:val="0"/>
      <w:marTop w:val="0"/>
      <w:marBottom w:val="0"/>
      <w:divBdr>
        <w:top w:val="none" w:sz="0" w:space="0" w:color="auto"/>
        <w:left w:val="none" w:sz="0" w:space="0" w:color="auto"/>
        <w:bottom w:val="none" w:sz="0" w:space="0" w:color="auto"/>
        <w:right w:val="none" w:sz="0" w:space="0" w:color="auto"/>
      </w:divBdr>
    </w:div>
    <w:div w:id="1882207233">
      <w:bodyDiv w:val="1"/>
      <w:marLeft w:val="0"/>
      <w:marRight w:val="0"/>
      <w:marTop w:val="0"/>
      <w:marBottom w:val="0"/>
      <w:divBdr>
        <w:top w:val="none" w:sz="0" w:space="0" w:color="auto"/>
        <w:left w:val="none" w:sz="0" w:space="0" w:color="auto"/>
        <w:bottom w:val="none" w:sz="0" w:space="0" w:color="auto"/>
        <w:right w:val="none" w:sz="0" w:space="0" w:color="auto"/>
      </w:divBdr>
    </w:div>
    <w:div w:id="21230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DC8A8-A845-4B3F-BDF8-9AA26098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1298</Words>
  <Characters>6596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VYHLÁŠKA ZASTUPITELSTVA MĚSTA PLZNĚ</vt:lpstr>
    </vt:vector>
  </TitlesOfParts>
  <Company>SITmP</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ZASTUPITELSTVA MĚSTA PLZNĚ</dc:title>
  <dc:creator>tomasek</dc:creator>
  <cp:lastModifiedBy>Jirková Michaela</cp:lastModifiedBy>
  <cp:revision>3</cp:revision>
  <cp:lastPrinted>2015-12-11T08:26:00Z</cp:lastPrinted>
  <dcterms:created xsi:type="dcterms:W3CDTF">2023-07-14T07:13:00Z</dcterms:created>
  <dcterms:modified xsi:type="dcterms:W3CDTF">2023-07-14T07:14:00Z</dcterms:modified>
</cp:coreProperties>
</file>