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5C" w:rsidRDefault="00B83BFB">
      <w:pPr>
        <w:pStyle w:val="Nzev"/>
      </w:pPr>
      <w:r>
        <w:t>Město Lysá nad Labem</w:t>
      </w:r>
      <w:r>
        <w:br/>
        <w:t>Zastupitelstvo města Lysá nad Labem</w:t>
      </w:r>
    </w:p>
    <w:p w:rsidR="00E3205C" w:rsidRDefault="00B83BFB">
      <w:pPr>
        <w:pStyle w:val="Nadpis1"/>
      </w:pPr>
      <w:r>
        <w:t>Obecně závazná vyhláška města Lysá nad Labem</w:t>
      </w:r>
      <w:r>
        <w:br/>
        <w:t>o místním poplatku za obecní systém odpadového hospodářství</w:t>
      </w:r>
    </w:p>
    <w:p w:rsidR="00E3205C" w:rsidRDefault="00B83BFB">
      <w:pPr>
        <w:pStyle w:val="UvodniVeta"/>
      </w:pPr>
      <w:r>
        <w:t>Zastupitelstvo města Lysá nad</w:t>
      </w:r>
      <w:r w:rsidR="00E25E77">
        <w:t xml:space="preserve"> Labem se na svém zasedání dne </w:t>
      </w:r>
      <w:r w:rsidR="00B815D2">
        <w:t>06</w:t>
      </w:r>
      <w:r>
        <w:t>.</w:t>
      </w:r>
      <w:r w:rsidR="00AF75A5">
        <w:t xml:space="preserve"> </w:t>
      </w:r>
      <w:r w:rsidR="00B815D2">
        <w:t>12</w:t>
      </w:r>
      <w:r w:rsidR="00E25E77">
        <w:t>.</w:t>
      </w:r>
      <w:r w:rsidR="00AF75A5">
        <w:t xml:space="preserve"> </w:t>
      </w:r>
      <w:r>
        <w:t xml:space="preserve">2023 </w:t>
      </w:r>
      <w:r w:rsidR="00C9038E">
        <w:t xml:space="preserve">usnesením č. 147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3205C" w:rsidRDefault="00B83BFB">
      <w:pPr>
        <w:pStyle w:val="Nadpis2"/>
      </w:pPr>
      <w:r>
        <w:t>Čl. 1</w:t>
      </w:r>
      <w:r>
        <w:br/>
        <w:t>Úvodní ustanovení</w:t>
      </w:r>
    </w:p>
    <w:p w:rsidR="00E3205C" w:rsidRDefault="00B83BFB">
      <w:pPr>
        <w:pStyle w:val="Odstavec"/>
        <w:numPr>
          <w:ilvl w:val="0"/>
          <w:numId w:val="1"/>
        </w:numPr>
      </w:pPr>
      <w:r>
        <w:t>Město Lysá nad Labem touto vyhláškou zavádí místní poplatek za obecní systém odpadového hospodářství (dále jen „poplatek“).</w:t>
      </w:r>
    </w:p>
    <w:p w:rsidR="00E3205C" w:rsidRDefault="00B83BF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3205C" w:rsidRDefault="00B83BF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E3205C" w:rsidRDefault="00B83BFB">
      <w:pPr>
        <w:pStyle w:val="Nadpis2"/>
      </w:pPr>
      <w:r>
        <w:t>Čl. 2</w:t>
      </w:r>
      <w:r>
        <w:br/>
        <w:t>Poplatník</w:t>
      </w:r>
    </w:p>
    <w:p w:rsidR="00E3205C" w:rsidRDefault="00B83BF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3205C" w:rsidRDefault="00B83BF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E3205C" w:rsidRDefault="00B83BFB">
      <w:pPr>
        <w:pStyle w:val="Odstavec"/>
        <w:numPr>
          <w:ilvl w:val="1"/>
          <w:numId w:val="1"/>
        </w:numPr>
      </w:pPr>
      <w:r>
        <w:lastRenderedPageBreak/>
        <w:t>nebo vlastník nemovité věci zahrnující byt, rodinný dům nebo stavbu pro rodinnou rekreaci, ve které není přihlášená žádná fyzická osoba a která je umístěna na území města.</w:t>
      </w:r>
    </w:p>
    <w:p w:rsidR="00E3205C" w:rsidRDefault="00B83BF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3205C" w:rsidRDefault="00B83BFB">
      <w:pPr>
        <w:pStyle w:val="Nadpis2"/>
      </w:pPr>
      <w:r>
        <w:t>Čl. 3</w:t>
      </w:r>
      <w:r>
        <w:br/>
        <w:t>Ohlašovací povinnost</w:t>
      </w:r>
    </w:p>
    <w:p w:rsidR="00E3205C" w:rsidRDefault="00B83BF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3205C" w:rsidRDefault="00B83BF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E3205C" w:rsidRDefault="00B83BFB">
      <w:pPr>
        <w:pStyle w:val="Nadpis2"/>
      </w:pPr>
      <w:r>
        <w:t>Čl. 4</w:t>
      </w:r>
      <w:r>
        <w:br/>
        <w:t>Sazba poplatku</w:t>
      </w:r>
    </w:p>
    <w:p w:rsidR="00E3205C" w:rsidRDefault="00B83BF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815D2">
        <w:t xml:space="preserve">840 </w:t>
      </w:r>
      <w:r>
        <w:t>Kč.</w:t>
      </w:r>
    </w:p>
    <w:p w:rsidR="00E3205C" w:rsidRDefault="00B83BF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E3205C" w:rsidRDefault="00B83BF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E3205C" w:rsidRDefault="00B83BF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3205C" w:rsidRDefault="00B83BFB">
      <w:pPr>
        <w:pStyle w:val="Odstavec"/>
        <w:numPr>
          <w:ilvl w:val="0"/>
          <w:numId w:val="1"/>
        </w:numPr>
      </w:pPr>
      <w:proofErr w:type="gramStart"/>
      <w:r>
        <w:lastRenderedPageBreak/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E3205C" w:rsidRDefault="00B83BF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3205C" w:rsidRDefault="00B83BF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3205C" w:rsidRDefault="00B83BFB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3205C" w:rsidRDefault="00B83BFB">
      <w:pPr>
        <w:pStyle w:val="Nadpis2"/>
      </w:pPr>
      <w:r>
        <w:t>Čl. 5</w:t>
      </w:r>
      <w:r>
        <w:br/>
        <w:t>Splatnost poplatku</w:t>
      </w:r>
    </w:p>
    <w:p w:rsidR="00E3205C" w:rsidRDefault="00B83BFB">
      <w:pPr>
        <w:pStyle w:val="Odstavec"/>
        <w:numPr>
          <w:ilvl w:val="0"/>
          <w:numId w:val="5"/>
        </w:numPr>
      </w:pPr>
      <w:r>
        <w:t>Poplatek je splatný nejpozději do 30.</w:t>
      </w:r>
      <w:r w:rsidR="00097536">
        <w:t xml:space="preserve"> </w:t>
      </w:r>
      <w:r w:rsidR="007B46B1">
        <w:t>06.</w:t>
      </w:r>
      <w:r>
        <w:t xml:space="preserve"> příslušného kalendářního roku.</w:t>
      </w:r>
    </w:p>
    <w:p w:rsidR="00E3205C" w:rsidRDefault="00B83BFB" w:rsidP="007B46B1">
      <w:pPr>
        <w:pStyle w:val="Odstavec"/>
        <w:numPr>
          <w:ilvl w:val="0"/>
          <w:numId w:val="1"/>
        </w:numPr>
      </w:pPr>
      <w:r>
        <w:t xml:space="preserve">Vznikne-li poplatková povinnost </w:t>
      </w:r>
      <w:r w:rsidR="007B46B1">
        <w:t>v období od 01.</w:t>
      </w:r>
      <w:r w:rsidR="00097536">
        <w:t xml:space="preserve"> </w:t>
      </w:r>
      <w:r w:rsidR="007B46B1">
        <w:t>06. do 31.</w:t>
      </w:r>
      <w:r w:rsidR="00097536">
        <w:t xml:space="preserve"> </w:t>
      </w:r>
      <w:bookmarkStart w:id="0" w:name="_GoBack"/>
      <w:bookmarkEnd w:id="0"/>
      <w:r w:rsidR="007B46B1">
        <w:t>12. příslušného kalendářního roku, je poplatek splatný k poslednímu dni v měsíci následujícím po měsíci vzniku poplatkové povinnosti.</w:t>
      </w:r>
    </w:p>
    <w:p w:rsidR="00E3205C" w:rsidRDefault="00B83BFB">
      <w:pPr>
        <w:pStyle w:val="Nadpis2"/>
      </w:pPr>
      <w:r>
        <w:t>Čl. 6</w:t>
      </w:r>
      <w:r>
        <w:br/>
        <w:t xml:space="preserve"> Osvobození</w:t>
      </w:r>
    </w:p>
    <w:p w:rsidR="00E3205C" w:rsidRDefault="00B83BF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E3205C" w:rsidRDefault="00B83BF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3205C" w:rsidRDefault="00B83BF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3205C" w:rsidRDefault="00B83BF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3205C" w:rsidRDefault="00B83BF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3205C" w:rsidRDefault="00B83BF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3205C" w:rsidRDefault="00B83BFB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ve městě a která </w:t>
      </w:r>
      <w:r w:rsidR="00211A2F">
        <w:t>prokazatelně pobývá v zahraničí déle než 6 po sobě jdou</w:t>
      </w:r>
      <w:r w:rsidR="00951808">
        <w:t>c</w:t>
      </w:r>
      <w:r w:rsidR="00211A2F">
        <w:t>ích měsíců v kalendářním roce.</w:t>
      </w:r>
    </w:p>
    <w:p w:rsidR="00947F49" w:rsidRDefault="00947F49" w:rsidP="00947F49">
      <w:pPr>
        <w:pStyle w:val="Odstavec"/>
      </w:pPr>
    </w:p>
    <w:p w:rsidR="00E3205C" w:rsidRDefault="0063717E">
      <w:pPr>
        <w:pStyle w:val="Odstavec"/>
        <w:numPr>
          <w:ilvl w:val="0"/>
          <w:numId w:val="1"/>
        </w:numPr>
      </w:pPr>
      <w:r>
        <w:t>Od poplatku se osvobozuje město Lysá nad Labem jako poplatník</w:t>
      </w:r>
      <w:r w:rsidR="00B83BFB">
        <w:t>, které</w:t>
      </w:r>
      <w:r>
        <w:t>mu</w:t>
      </w:r>
      <w:r w:rsidR="00B83BFB">
        <w:t xml:space="preserve"> poplatková povinnost vznikla z důvodu vlastnictví nemovité věci zahrnující byt, rodinný dům nebo stavbu pro</w:t>
      </w:r>
      <w:r w:rsidR="00056F58">
        <w:t> </w:t>
      </w:r>
      <w:r w:rsidR="00B83BFB">
        <w:t>rodinnou rekreaci, ve které není přihlášená žádná fyzická osoba a která se nachází na území tohoto města.</w:t>
      </w:r>
    </w:p>
    <w:p w:rsidR="00E3205C" w:rsidRDefault="00B83BFB" w:rsidP="0014769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63717E" w:rsidRDefault="0063717E" w:rsidP="0063717E">
      <w:pPr>
        <w:pStyle w:val="Nadpis2"/>
      </w:pPr>
      <w:r>
        <w:t>Čl. 7</w:t>
      </w:r>
      <w:r>
        <w:br/>
        <w:t xml:space="preserve"> Úlevy</w:t>
      </w:r>
    </w:p>
    <w:p w:rsidR="00D67488" w:rsidRDefault="00D67488" w:rsidP="00810C4F">
      <w:pPr>
        <w:pStyle w:val="Odstavecseseznamem"/>
        <w:numPr>
          <w:ilvl w:val="0"/>
          <w:numId w:val="11"/>
        </w:numPr>
        <w:tabs>
          <w:tab w:val="left" w:pos="567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01.</w:t>
      </w:r>
      <w:r w:rsidR="00AF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 se ú</w:t>
      </w:r>
      <w:r w:rsidR="0063717E" w:rsidRPr="00810C4F">
        <w:rPr>
          <w:rFonts w:ascii="Arial" w:hAnsi="Arial" w:cs="Arial"/>
          <w:sz w:val="22"/>
          <w:szCs w:val="22"/>
        </w:rPr>
        <w:t xml:space="preserve">leva </w:t>
      </w:r>
      <w:r w:rsidR="00810C4F" w:rsidRPr="00810C4F">
        <w:rPr>
          <w:rFonts w:ascii="Arial" w:hAnsi="Arial" w:cs="Arial"/>
          <w:sz w:val="22"/>
          <w:szCs w:val="22"/>
        </w:rPr>
        <w:t xml:space="preserve">z doplňkového pytlového sběru v systému „Třídíme, šetříme, sbíráme“ </w:t>
      </w:r>
      <w:r>
        <w:rPr>
          <w:rFonts w:ascii="Arial" w:hAnsi="Arial" w:cs="Arial"/>
          <w:sz w:val="22"/>
          <w:szCs w:val="22"/>
        </w:rPr>
        <w:t>neposkytuje. Tím není dotčeno uplatnění úlevy dle dosavadní obecně závazné vyhlášky.</w:t>
      </w:r>
    </w:p>
    <w:p w:rsidR="00810C4F" w:rsidRDefault="00D67488" w:rsidP="00810C4F">
      <w:pPr>
        <w:pStyle w:val="Odstavecseseznamem"/>
        <w:numPr>
          <w:ilvl w:val="0"/>
          <w:numId w:val="11"/>
        </w:numPr>
        <w:tabs>
          <w:tab w:val="left" w:pos="567"/>
        </w:tabs>
        <w:spacing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vzniklá za</w:t>
      </w:r>
      <w:r w:rsidR="00693D30" w:rsidRPr="00810C4F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 xml:space="preserve">období </w:t>
      </w:r>
      <w:r w:rsidR="00131A5D" w:rsidRPr="00810C4F">
        <w:rPr>
          <w:rFonts w:ascii="Arial" w:hAnsi="Arial" w:cs="Arial"/>
          <w:sz w:val="22"/>
          <w:szCs w:val="22"/>
        </w:rPr>
        <w:t xml:space="preserve">od </w:t>
      </w:r>
      <w:r w:rsidR="0063717E" w:rsidRPr="00810C4F">
        <w:rPr>
          <w:rFonts w:ascii="Arial" w:hAnsi="Arial" w:cs="Arial"/>
          <w:sz w:val="22"/>
          <w:szCs w:val="22"/>
        </w:rPr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11.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202</w:t>
      </w:r>
      <w:r w:rsidR="00131A5D" w:rsidRPr="00810C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 31.</w:t>
      </w:r>
      <w:r w:rsidR="00AF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3D0B9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AF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2023 </w:t>
      </w:r>
      <w:r w:rsidR="0063717E" w:rsidRPr="00810C4F">
        <w:rPr>
          <w:rFonts w:ascii="Arial" w:hAnsi="Arial" w:cs="Arial"/>
          <w:sz w:val="22"/>
          <w:szCs w:val="22"/>
        </w:rPr>
        <w:t xml:space="preserve">může dosáhnout </w:t>
      </w:r>
      <w:r w:rsidR="008B34E3">
        <w:rPr>
          <w:rFonts w:ascii="Arial" w:hAnsi="Arial" w:cs="Arial"/>
          <w:sz w:val="22"/>
          <w:szCs w:val="22"/>
        </w:rPr>
        <w:t xml:space="preserve">maximálně </w:t>
      </w:r>
      <w:r w:rsidR="0063717E" w:rsidRPr="00810C4F">
        <w:rPr>
          <w:rFonts w:ascii="Arial" w:hAnsi="Arial" w:cs="Arial"/>
          <w:sz w:val="22"/>
          <w:szCs w:val="22"/>
        </w:rPr>
        <w:t>vý</w:t>
      </w:r>
      <w:r w:rsidR="00693D30" w:rsidRPr="00810C4F">
        <w:rPr>
          <w:rFonts w:ascii="Arial" w:hAnsi="Arial" w:cs="Arial"/>
          <w:sz w:val="22"/>
          <w:szCs w:val="22"/>
        </w:rPr>
        <w:t>š</w:t>
      </w:r>
      <w:r w:rsidR="0063717E" w:rsidRPr="00810C4F">
        <w:rPr>
          <w:rFonts w:ascii="Arial" w:hAnsi="Arial" w:cs="Arial"/>
          <w:sz w:val="22"/>
          <w:szCs w:val="22"/>
        </w:rPr>
        <w:t>e</w:t>
      </w:r>
      <w:r w:rsidR="00693D30" w:rsidRPr="00810C4F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poplatku</w:t>
      </w:r>
      <w:r w:rsidR="003D0B9E">
        <w:rPr>
          <w:rFonts w:ascii="Arial" w:hAnsi="Arial" w:cs="Arial"/>
          <w:sz w:val="22"/>
          <w:szCs w:val="22"/>
        </w:rPr>
        <w:t>,</w:t>
      </w:r>
      <w:r w:rsidR="0063717E" w:rsidRPr="00810C4F">
        <w:rPr>
          <w:rFonts w:ascii="Arial" w:hAnsi="Arial" w:cs="Arial"/>
          <w:sz w:val="22"/>
          <w:szCs w:val="22"/>
        </w:rPr>
        <w:t xml:space="preserve"> který byl stanoven poplatníkovi pro poplatkové období od 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2023 do</w:t>
      </w:r>
      <w:r w:rsidR="00693D30" w:rsidRPr="00810C4F">
        <w:rPr>
          <w:rFonts w:ascii="Arial" w:hAnsi="Arial" w:cs="Arial"/>
          <w:sz w:val="22"/>
          <w:szCs w:val="22"/>
        </w:rPr>
        <w:t> </w:t>
      </w:r>
      <w:r w:rsidR="0063717E" w:rsidRPr="00810C4F">
        <w:rPr>
          <w:rFonts w:ascii="Arial" w:hAnsi="Arial" w:cs="Arial"/>
          <w:sz w:val="22"/>
          <w:szCs w:val="22"/>
        </w:rPr>
        <w:t>31.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12.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63717E" w:rsidRPr="00810C4F">
        <w:rPr>
          <w:rFonts w:ascii="Arial" w:hAnsi="Arial" w:cs="Arial"/>
          <w:sz w:val="22"/>
          <w:szCs w:val="22"/>
        </w:rPr>
        <w:t>2023</w:t>
      </w:r>
      <w:r w:rsidR="00131A5D" w:rsidRPr="00810C4F">
        <w:rPr>
          <w:rFonts w:ascii="Arial" w:hAnsi="Arial" w:cs="Arial"/>
          <w:sz w:val="22"/>
          <w:szCs w:val="22"/>
        </w:rPr>
        <w:t>,</w:t>
      </w:r>
      <w:r w:rsidR="009F601B" w:rsidRPr="00810C4F">
        <w:rPr>
          <w:rFonts w:ascii="Arial" w:hAnsi="Arial" w:cs="Arial"/>
          <w:sz w:val="22"/>
          <w:szCs w:val="22"/>
        </w:rPr>
        <w:t xml:space="preserve"> a</w:t>
      </w:r>
      <w:r w:rsidR="00155CE9" w:rsidRPr="00810C4F">
        <w:rPr>
          <w:rFonts w:ascii="Arial" w:hAnsi="Arial" w:cs="Arial"/>
          <w:sz w:val="22"/>
          <w:szCs w:val="22"/>
        </w:rPr>
        <w:t> </w:t>
      </w:r>
      <w:r w:rsidR="009F601B" w:rsidRPr="00810C4F">
        <w:rPr>
          <w:rFonts w:ascii="Arial" w:hAnsi="Arial" w:cs="Arial"/>
          <w:sz w:val="22"/>
          <w:szCs w:val="22"/>
        </w:rPr>
        <w:t>bude odečtena z poplatku pro poplatkové období od 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9F601B" w:rsidRPr="00810C4F">
        <w:rPr>
          <w:rFonts w:ascii="Arial" w:hAnsi="Arial" w:cs="Arial"/>
          <w:sz w:val="22"/>
          <w:szCs w:val="22"/>
        </w:rPr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9F601B" w:rsidRPr="00810C4F">
        <w:rPr>
          <w:rFonts w:ascii="Arial" w:hAnsi="Arial" w:cs="Arial"/>
          <w:sz w:val="22"/>
          <w:szCs w:val="22"/>
        </w:rPr>
        <w:t>2024 do</w:t>
      </w:r>
      <w:r w:rsidR="00693D30" w:rsidRPr="00810C4F">
        <w:rPr>
          <w:rFonts w:ascii="Arial" w:hAnsi="Arial" w:cs="Arial"/>
          <w:sz w:val="22"/>
          <w:szCs w:val="22"/>
        </w:rPr>
        <w:t> </w:t>
      </w:r>
      <w:r w:rsidR="009F601B" w:rsidRPr="00810C4F">
        <w:rPr>
          <w:rFonts w:ascii="Arial" w:hAnsi="Arial" w:cs="Arial"/>
          <w:sz w:val="22"/>
          <w:szCs w:val="22"/>
        </w:rPr>
        <w:t>31.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9F601B" w:rsidRPr="00810C4F">
        <w:rPr>
          <w:rFonts w:ascii="Arial" w:hAnsi="Arial" w:cs="Arial"/>
          <w:sz w:val="22"/>
          <w:szCs w:val="22"/>
        </w:rPr>
        <w:t>12.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="009F601B" w:rsidRPr="00810C4F">
        <w:rPr>
          <w:rFonts w:ascii="Arial" w:hAnsi="Arial" w:cs="Arial"/>
          <w:sz w:val="22"/>
          <w:szCs w:val="22"/>
        </w:rPr>
        <w:t>2024.</w:t>
      </w:r>
    </w:p>
    <w:p w:rsidR="003D0B9E" w:rsidRDefault="003D0B9E" w:rsidP="003D0B9E">
      <w:pPr>
        <w:pStyle w:val="Odstavecseseznamem"/>
        <w:numPr>
          <w:ilvl w:val="0"/>
          <w:numId w:val="11"/>
        </w:numPr>
        <w:tabs>
          <w:tab w:val="left" w:pos="567"/>
        </w:tabs>
        <w:spacing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vzniklá za</w:t>
      </w:r>
      <w:r w:rsidRPr="00810C4F">
        <w:rPr>
          <w:rFonts w:ascii="Arial" w:hAnsi="Arial" w:cs="Arial"/>
          <w:sz w:val="22"/>
          <w:szCs w:val="22"/>
        </w:rPr>
        <w:t xml:space="preserve"> období od 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11.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 do 31.</w:t>
      </w:r>
      <w:r w:rsidR="00AF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AF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2023 </w:t>
      </w:r>
      <w:r w:rsidRPr="00810C4F">
        <w:rPr>
          <w:rFonts w:ascii="Arial" w:hAnsi="Arial" w:cs="Arial"/>
          <w:sz w:val="22"/>
          <w:szCs w:val="22"/>
        </w:rPr>
        <w:t xml:space="preserve">může dosáhnout </w:t>
      </w:r>
      <w:r>
        <w:rPr>
          <w:rFonts w:ascii="Arial" w:hAnsi="Arial" w:cs="Arial"/>
          <w:sz w:val="22"/>
          <w:szCs w:val="22"/>
        </w:rPr>
        <w:t xml:space="preserve">maximálně </w:t>
      </w:r>
      <w:r w:rsidRPr="00810C4F">
        <w:rPr>
          <w:rFonts w:ascii="Arial" w:hAnsi="Arial" w:cs="Arial"/>
          <w:sz w:val="22"/>
          <w:szCs w:val="22"/>
        </w:rPr>
        <w:t xml:space="preserve">výše </w:t>
      </w:r>
      <w:r w:rsidR="008D0BD3">
        <w:rPr>
          <w:rFonts w:ascii="Arial" w:hAnsi="Arial" w:cs="Arial"/>
          <w:sz w:val="22"/>
          <w:szCs w:val="22"/>
        </w:rPr>
        <w:t>dvou dvanáctin</w:t>
      </w:r>
      <w:r w:rsidR="00025073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poplatku</w:t>
      </w:r>
      <w:r>
        <w:rPr>
          <w:rFonts w:ascii="Arial" w:hAnsi="Arial" w:cs="Arial"/>
          <w:sz w:val="22"/>
          <w:szCs w:val="22"/>
        </w:rPr>
        <w:t>,</w:t>
      </w:r>
      <w:r w:rsidRPr="00810C4F">
        <w:rPr>
          <w:rFonts w:ascii="Arial" w:hAnsi="Arial" w:cs="Arial"/>
          <w:sz w:val="22"/>
          <w:szCs w:val="22"/>
        </w:rPr>
        <w:t xml:space="preserve"> který byl stanoven poplatníkovi pro poplatkové období od </w:t>
      </w:r>
      <w:r w:rsidRPr="00810C4F">
        <w:rPr>
          <w:rFonts w:ascii="Arial" w:hAnsi="Arial" w:cs="Arial"/>
          <w:sz w:val="22"/>
          <w:szCs w:val="22"/>
        </w:rPr>
        <w:lastRenderedPageBreak/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2023 do 31.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12.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2023, a bude odečtena z poplatku pro poplatkové období od 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01.</w:t>
      </w:r>
      <w:r w:rsidR="00AF75A5">
        <w:rPr>
          <w:rFonts w:ascii="Arial" w:hAnsi="Arial" w:cs="Arial"/>
          <w:sz w:val="22"/>
          <w:szCs w:val="22"/>
        </w:rPr>
        <w:t xml:space="preserve"> </w:t>
      </w:r>
      <w:r w:rsidRPr="00810C4F">
        <w:rPr>
          <w:rFonts w:ascii="Arial" w:hAnsi="Arial" w:cs="Arial"/>
          <w:sz w:val="22"/>
          <w:szCs w:val="22"/>
        </w:rPr>
        <w:t>2024 do 31.</w:t>
      </w:r>
      <w:r w:rsidR="00AF75A5">
        <w:rPr>
          <w:rFonts w:ascii="Arial" w:hAnsi="Arial" w:cs="Arial"/>
          <w:sz w:val="22"/>
          <w:szCs w:val="22"/>
        </w:rPr>
        <w:t> </w:t>
      </w:r>
      <w:r w:rsidRPr="00810C4F">
        <w:rPr>
          <w:rFonts w:ascii="Arial" w:hAnsi="Arial" w:cs="Arial"/>
          <w:sz w:val="22"/>
          <w:szCs w:val="22"/>
        </w:rPr>
        <w:t>12.</w:t>
      </w:r>
      <w:r w:rsidR="00AF75A5">
        <w:rPr>
          <w:rFonts w:ascii="Arial" w:hAnsi="Arial" w:cs="Arial"/>
          <w:sz w:val="22"/>
          <w:szCs w:val="22"/>
        </w:rPr>
        <w:t> </w:t>
      </w:r>
      <w:r w:rsidRPr="00810C4F">
        <w:rPr>
          <w:rFonts w:ascii="Arial" w:hAnsi="Arial" w:cs="Arial"/>
          <w:sz w:val="22"/>
          <w:szCs w:val="22"/>
        </w:rPr>
        <w:t>2024.</w:t>
      </w:r>
    </w:p>
    <w:p w:rsidR="0063717E" w:rsidRDefault="003D0B9E" w:rsidP="00810C4F">
      <w:pPr>
        <w:pStyle w:val="Odstavecseseznamem"/>
        <w:tabs>
          <w:tab w:val="left" w:pos="567"/>
        </w:tabs>
        <w:spacing w:after="120" w:line="276" w:lineRule="auto"/>
        <w:ind w:left="0"/>
        <w:contextualSpacing w:val="0"/>
        <w:jc w:val="both"/>
      </w:pPr>
      <w:r>
        <w:rPr>
          <w:rFonts w:ascii="Arial" w:hAnsi="Arial" w:cs="Arial"/>
          <w:sz w:val="22"/>
          <w:szCs w:val="22"/>
        </w:rPr>
        <w:t>(4)</w:t>
      </w:r>
      <w:r w:rsidR="00056F58">
        <w:rPr>
          <w:rFonts w:ascii="Arial" w:hAnsi="Arial" w:cs="Arial"/>
          <w:sz w:val="22"/>
          <w:szCs w:val="22"/>
        </w:rPr>
        <w:tab/>
      </w:r>
      <w:r w:rsidR="0063717E">
        <w:rPr>
          <w:rFonts w:ascii="Arial" w:hAnsi="Arial" w:cs="Arial"/>
          <w:sz w:val="22"/>
          <w:szCs w:val="22"/>
        </w:rPr>
        <w:t>V případě, že výše úlevy bude vyšší než poměrná výše poplatku, u kterého bude uplatněna, bude poplatníkovi započítána úleva maximálně do výše takto stanovené poměrné výše poplatku.</w:t>
      </w:r>
    </w:p>
    <w:p w:rsidR="00E3205C" w:rsidRDefault="0063717E" w:rsidP="008B34E3">
      <w:pPr>
        <w:pStyle w:val="Nadpis2"/>
      </w:pPr>
      <w:r>
        <w:t>Čl. 8</w:t>
      </w:r>
      <w:r w:rsidR="00B83BFB">
        <w:br/>
        <w:t>Přechodné ustanovení</w:t>
      </w:r>
    </w:p>
    <w:p w:rsidR="00E3205C" w:rsidRDefault="00B83BFB" w:rsidP="008B34E3">
      <w:pPr>
        <w:pStyle w:val="Odstavec"/>
        <w:numPr>
          <w:ilvl w:val="0"/>
          <w:numId w:val="7"/>
        </w:numPr>
        <w:spacing w:before="360"/>
      </w:pPr>
      <w:r>
        <w:t>Poplatkové povinnosti vzniklé před nabytím účinnosti této vyhlášky se posuzují podle dosavadních právních předpisů.</w:t>
      </w:r>
    </w:p>
    <w:p w:rsidR="00E3205C" w:rsidRDefault="0063717E">
      <w:pPr>
        <w:pStyle w:val="Nadpis2"/>
      </w:pPr>
      <w:r>
        <w:t>Čl. 9</w:t>
      </w:r>
      <w:r w:rsidR="00B83BFB">
        <w:br/>
        <w:t>Účinnost</w:t>
      </w:r>
    </w:p>
    <w:p w:rsidR="00E3205C" w:rsidRDefault="00B83BFB">
      <w:pPr>
        <w:pStyle w:val="Odstavec"/>
      </w:pPr>
      <w:r>
        <w:t xml:space="preserve">Tato vyhláška nabývá účinnosti dnem </w:t>
      </w:r>
      <w:r w:rsidR="009F601B">
        <w:t>0</w:t>
      </w:r>
      <w:r>
        <w:t>1.</w:t>
      </w:r>
      <w:r w:rsidR="00097536">
        <w:t xml:space="preserve"> </w:t>
      </w:r>
      <w:r w:rsidR="0063717E">
        <w:t>01.</w:t>
      </w:r>
      <w:r w:rsidR="00097536">
        <w:t xml:space="preserve"> </w:t>
      </w:r>
      <w:r>
        <w:t>2024.</w:t>
      </w:r>
    </w:p>
    <w:p w:rsidR="00147697" w:rsidRDefault="00147697">
      <w:pPr>
        <w:pStyle w:val="Odstavec"/>
      </w:pPr>
    </w:p>
    <w:p w:rsidR="00FC25E0" w:rsidRDefault="00FC25E0">
      <w:pPr>
        <w:pStyle w:val="Odstavec"/>
      </w:pPr>
    </w:p>
    <w:p w:rsidR="00FC25E0" w:rsidRDefault="00FC25E0">
      <w:pPr>
        <w:pStyle w:val="Odstavec"/>
      </w:pPr>
    </w:p>
    <w:p w:rsidR="00147697" w:rsidRDefault="00147697">
      <w:pPr>
        <w:pStyle w:val="Odstavec"/>
      </w:pPr>
    </w:p>
    <w:tbl>
      <w:tblPr>
        <w:tblW w:w="961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4806"/>
      </w:tblGrid>
      <w:tr w:rsidR="00E3205C" w:rsidTr="00BF4E0A">
        <w:trPr>
          <w:trHeight w:hRule="exact" w:val="671"/>
        </w:trPr>
        <w:tc>
          <w:tcPr>
            <w:tcW w:w="48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47697" w:rsidRDefault="00B83BFB" w:rsidP="00147697">
            <w:pPr>
              <w:pStyle w:val="PodpisovePole"/>
            </w:pPr>
            <w:r>
              <w:t xml:space="preserve">Mgr. </w:t>
            </w:r>
            <w:r w:rsidR="004A6769">
              <w:t>Radka Bláhová</w:t>
            </w:r>
            <w:r>
              <w:t xml:space="preserve"> </w:t>
            </w:r>
          </w:p>
          <w:p w:rsidR="00E3205C" w:rsidRDefault="00B83BFB" w:rsidP="004A6769">
            <w:pPr>
              <w:pStyle w:val="PodpisovePole"/>
            </w:pPr>
            <w:r>
              <w:t xml:space="preserve"> </w:t>
            </w:r>
            <w:r w:rsidR="004A6769">
              <w:t>místostarostka</w:t>
            </w:r>
          </w:p>
        </w:tc>
        <w:tc>
          <w:tcPr>
            <w:tcW w:w="48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6769" w:rsidRDefault="004A6769" w:rsidP="004A6769">
            <w:pPr>
              <w:pStyle w:val="PodpisovePole"/>
            </w:pPr>
            <w:r>
              <w:t xml:space="preserve">Mgr. Karel Marek </w:t>
            </w:r>
          </w:p>
          <w:p w:rsidR="00E3205C" w:rsidRDefault="004A6769" w:rsidP="004A6769">
            <w:pPr>
              <w:pStyle w:val="PodpisovePole"/>
            </w:pPr>
            <w:r>
              <w:t xml:space="preserve"> starosta</w:t>
            </w:r>
          </w:p>
        </w:tc>
      </w:tr>
      <w:tr w:rsidR="00E3205C" w:rsidTr="00BF4E0A">
        <w:trPr>
          <w:trHeight w:hRule="exact" w:val="671"/>
        </w:trPr>
        <w:tc>
          <w:tcPr>
            <w:tcW w:w="48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4E0A" w:rsidRDefault="00BF4E0A" w:rsidP="00BF4E0A">
            <w:pPr>
              <w:pStyle w:val="PodpisovePole"/>
              <w:jc w:val="left"/>
            </w:pPr>
          </w:p>
        </w:tc>
        <w:tc>
          <w:tcPr>
            <w:tcW w:w="48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05C" w:rsidRDefault="00E3205C" w:rsidP="00BF4E0A">
            <w:pPr>
              <w:pStyle w:val="PodpisovePole"/>
              <w:jc w:val="left"/>
            </w:pPr>
          </w:p>
        </w:tc>
      </w:tr>
    </w:tbl>
    <w:p w:rsidR="00043703" w:rsidRDefault="00043703" w:rsidP="00147697"/>
    <w:sectPr w:rsidR="00043703" w:rsidSect="00147697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2B" w:rsidRDefault="000A722B">
      <w:r>
        <w:separator/>
      </w:r>
    </w:p>
  </w:endnote>
  <w:endnote w:type="continuationSeparator" w:id="0">
    <w:p w:rsidR="000A722B" w:rsidRDefault="000A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2B" w:rsidRDefault="000A722B">
      <w:r>
        <w:rPr>
          <w:color w:val="000000"/>
        </w:rPr>
        <w:separator/>
      </w:r>
    </w:p>
  </w:footnote>
  <w:footnote w:type="continuationSeparator" w:id="0">
    <w:p w:rsidR="000A722B" w:rsidRDefault="000A722B">
      <w:r>
        <w:continuationSeparator/>
      </w:r>
    </w:p>
  </w:footnote>
  <w:footnote w:id="1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3205C" w:rsidRDefault="00B83BF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3205C" w:rsidRDefault="00B83BF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46FD"/>
    <w:multiLevelType w:val="multilevel"/>
    <w:tmpl w:val="8C3681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448E3D38"/>
    <w:multiLevelType w:val="multilevel"/>
    <w:tmpl w:val="8C3681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 w15:restartNumberingAfterBreak="0">
    <w:nsid w:val="66627A2E"/>
    <w:multiLevelType w:val="multilevel"/>
    <w:tmpl w:val="8C3681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 w15:restartNumberingAfterBreak="0">
    <w:nsid w:val="79B7329C"/>
    <w:multiLevelType w:val="multilevel"/>
    <w:tmpl w:val="8C3681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 w15:restartNumberingAfterBreak="0">
    <w:nsid w:val="7BBE7E6C"/>
    <w:multiLevelType w:val="multilevel"/>
    <w:tmpl w:val="8C3681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5C"/>
    <w:rsid w:val="00025073"/>
    <w:rsid w:val="00043703"/>
    <w:rsid w:val="00056F58"/>
    <w:rsid w:val="00097536"/>
    <w:rsid w:val="000A722B"/>
    <w:rsid w:val="00125BA0"/>
    <w:rsid w:val="00131A5D"/>
    <w:rsid w:val="00147697"/>
    <w:rsid w:val="00155CE9"/>
    <w:rsid w:val="001B41EB"/>
    <w:rsid w:val="00211A2F"/>
    <w:rsid w:val="0027259C"/>
    <w:rsid w:val="003D0B9E"/>
    <w:rsid w:val="004A6769"/>
    <w:rsid w:val="005847CF"/>
    <w:rsid w:val="0063717E"/>
    <w:rsid w:val="00693D30"/>
    <w:rsid w:val="0073019E"/>
    <w:rsid w:val="007B46B1"/>
    <w:rsid w:val="007E5111"/>
    <w:rsid w:val="00810C4F"/>
    <w:rsid w:val="008B34E3"/>
    <w:rsid w:val="008D0BD3"/>
    <w:rsid w:val="00947F49"/>
    <w:rsid w:val="00951808"/>
    <w:rsid w:val="009F601B"/>
    <w:rsid w:val="00AA6E1F"/>
    <w:rsid w:val="00AF75A5"/>
    <w:rsid w:val="00B65772"/>
    <w:rsid w:val="00B815D2"/>
    <w:rsid w:val="00B83BFB"/>
    <w:rsid w:val="00BF4E0A"/>
    <w:rsid w:val="00C247FE"/>
    <w:rsid w:val="00C9038E"/>
    <w:rsid w:val="00D41958"/>
    <w:rsid w:val="00D67488"/>
    <w:rsid w:val="00D72FEA"/>
    <w:rsid w:val="00DA0F38"/>
    <w:rsid w:val="00E25E77"/>
    <w:rsid w:val="00E3205C"/>
    <w:rsid w:val="00F94033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BE152-4AF1-400E-A245-EAB4B2BF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717E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9F60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F601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9F60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F601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Dostál Martin</cp:lastModifiedBy>
  <cp:revision>2</cp:revision>
  <cp:lastPrinted>2023-08-31T11:05:00Z</cp:lastPrinted>
  <dcterms:created xsi:type="dcterms:W3CDTF">2023-12-11T09:21:00Z</dcterms:created>
  <dcterms:modified xsi:type="dcterms:W3CDTF">2023-12-11T09:21:00Z</dcterms:modified>
</cp:coreProperties>
</file>