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25AE" w14:textId="2F8B9956" w:rsidR="005A34CF" w:rsidRDefault="003B1DF1" w:rsidP="005A34CF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7728" behindDoc="0" locked="0" layoutInCell="0" allowOverlap="1" wp14:anchorId="28B29AE2" wp14:editId="043CE78C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0" y="0"/>
                <wp:lineTo x="0" y="20769"/>
                <wp:lineTo x="20800" y="20769"/>
                <wp:lineTo x="20800" y="0"/>
                <wp:lineTo x="0" y="0"/>
              </wp:wrapPolygon>
            </wp:wrapTight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E6B3D" w14:textId="77777777" w:rsidR="005A34CF" w:rsidRDefault="005A34CF" w:rsidP="005A34CF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444D3A3" w14:textId="77777777" w:rsidR="005A34CF" w:rsidRDefault="005A34CF" w:rsidP="005A34CF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7F77CAD6" w14:textId="77777777" w:rsidR="005A34CF" w:rsidRDefault="005A34CF" w:rsidP="005A34CF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1AD5D8B" w14:textId="77777777" w:rsidR="005A34CF" w:rsidRDefault="005A34CF" w:rsidP="005A34CF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0B4AB895" w14:textId="61C4AE4C" w:rsidR="005A34CF" w:rsidRDefault="005A34CF" w:rsidP="005A34CF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515F9730" w14:textId="77777777" w:rsidR="005A34CF" w:rsidRDefault="005A34CF" w:rsidP="005A34CF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</w:p>
    <w:p w14:paraId="5F79E2B3" w14:textId="497CEC93" w:rsidR="005A34CF" w:rsidRDefault="005A34CF" w:rsidP="005A34CF">
      <w:pPr>
        <w:pStyle w:val="Zhlav"/>
        <w:tabs>
          <w:tab w:val="left" w:pos="708"/>
        </w:tabs>
      </w:pPr>
    </w:p>
    <w:p w14:paraId="61FAC9F0" w14:textId="77777777" w:rsidR="005A34CF" w:rsidRDefault="005A34CF" w:rsidP="005A34C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C9CD16E" w14:textId="77777777" w:rsidR="008F0DA9" w:rsidRDefault="008F0DA9" w:rsidP="005A34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5A34CF">
      <w:pPr>
        <w:jc w:val="center"/>
        <w:rPr>
          <w:rFonts w:ascii="Arial" w:hAnsi="Arial" w:cs="Arial"/>
          <w:b/>
        </w:rPr>
      </w:pPr>
    </w:p>
    <w:p w14:paraId="689FC984" w14:textId="5D2D511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A34CF">
        <w:rPr>
          <w:rFonts w:ascii="Arial" w:hAnsi="Arial" w:cs="Arial"/>
          <w:sz w:val="22"/>
          <w:szCs w:val="22"/>
        </w:rPr>
        <w:t>Skuhrov nad Bělou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36C4C">
        <w:rPr>
          <w:rFonts w:ascii="Arial" w:hAnsi="Arial" w:cs="Arial"/>
          <w:sz w:val="22"/>
          <w:szCs w:val="22"/>
        </w:rPr>
        <w:t xml:space="preserve"> 27.9.2023 </w:t>
      </w:r>
      <w:r w:rsidR="00887A11" w:rsidRPr="007C3821">
        <w:rPr>
          <w:rFonts w:ascii="Arial" w:hAnsi="Arial" w:cs="Arial"/>
          <w:sz w:val="22"/>
          <w:szCs w:val="22"/>
        </w:rPr>
        <w:t xml:space="preserve">usnesením </w:t>
      </w:r>
      <w:r w:rsidR="007C3821">
        <w:rPr>
          <w:rFonts w:ascii="Arial" w:hAnsi="Arial" w:cs="Arial"/>
          <w:sz w:val="22"/>
          <w:szCs w:val="22"/>
        </w:rPr>
        <w:t xml:space="preserve">             </w:t>
      </w:r>
      <w:r w:rsidR="00887A11" w:rsidRPr="007C3821">
        <w:rPr>
          <w:rFonts w:ascii="Arial" w:hAnsi="Arial" w:cs="Arial"/>
          <w:sz w:val="22"/>
          <w:szCs w:val="22"/>
        </w:rPr>
        <w:t xml:space="preserve">č. </w:t>
      </w:r>
      <w:r w:rsidR="007C3821" w:rsidRPr="007C3821">
        <w:rPr>
          <w:rFonts w:ascii="Arial" w:hAnsi="Arial" w:cs="Arial"/>
          <w:sz w:val="22"/>
          <w:szCs w:val="22"/>
        </w:rPr>
        <w:t>6C/7Z/</w:t>
      </w:r>
      <w:proofErr w:type="gramStart"/>
      <w:r w:rsidR="007C3821" w:rsidRPr="007C3821">
        <w:rPr>
          <w:rFonts w:ascii="Arial" w:hAnsi="Arial" w:cs="Arial"/>
          <w:sz w:val="22"/>
          <w:szCs w:val="22"/>
        </w:rPr>
        <w:t>2023</w:t>
      </w:r>
      <w:r w:rsidR="007C3821">
        <w:rPr>
          <w:rFonts w:ascii="Arial" w:hAnsi="Arial" w:cs="Arial"/>
          <w:sz w:val="22"/>
          <w:szCs w:val="22"/>
        </w:rPr>
        <w:t xml:space="preserve"> </w:t>
      </w:r>
      <w:r w:rsidR="00887A1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usneslo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B1442A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A34CF">
        <w:rPr>
          <w:rFonts w:ascii="Arial" w:hAnsi="Arial" w:cs="Arial"/>
          <w:sz w:val="22"/>
          <w:szCs w:val="22"/>
        </w:rPr>
        <w:t>Skuhrov nad Bělou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0A060D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A34CF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029DDA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5A34CF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841C3F2" w14:textId="77777777" w:rsidR="00887A11" w:rsidRDefault="00887A11" w:rsidP="00887A11">
      <w:pPr>
        <w:pStyle w:val="slalnk"/>
        <w:spacing w:before="480"/>
        <w:ind w:left="567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5E06D7D4" w14:textId="77777777" w:rsidR="00887A11" w:rsidRDefault="00887A11" w:rsidP="00887A11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792D3B4" w14:textId="77777777" w:rsidR="00887A11" w:rsidRPr="00887A11" w:rsidRDefault="00887A11" w:rsidP="00887A11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87A11">
        <w:rPr>
          <w:rFonts w:ascii="Arial" w:hAnsi="Arial" w:cs="Arial"/>
          <w:sz w:val="22"/>
          <w:szCs w:val="22"/>
        </w:rPr>
        <w:t>Sazba poplatku za kalendářní rok činí: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1177"/>
        <w:gridCol w:w="1456"/>
        <w:gridCol w:w="1204"/>
        <w:gridCol w:w="1204"/>
      </w:tblGrid>
      <w:tr w:rsidR="00887A11" w14:paraId="51E713EB" w14:textId="77777777" w:rsidTr="00887A11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8B9C" w14:textId="77777777" w:rsidR="00887A11" w:rsidRDefault="00887A11">
            <w:pPr>
              <w:pStyle w:val="Prosttext"/>
              <w:spacing w:line="276" w:lineRule="auto"/>
              <w:rPr>
                <w:rFonts w:ascii="Times New Roman" w:hAnsi="Times New Roman" w:cs="Courier New"/>
                <w:sz w:val="24"/>
                <w:lang w:val="cs-CZ" w:eastAsia="cs-CZ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8DD1A" w14:textId="77777777" w:rsidR="00887A11" w:rsidRDefault="00887A11">
            <w:pPr>
              <w:pStyle w:val="Prosttext"/>
              <w:spacing w:line="276" w:lineRule="auto"/>
              <w:ind w:left="-63" w:right="-11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1. pes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0AD5" w14:textId="77777777" w:rsidR="00887A11" w:rsidRDefault="00887A11">
            <w:pPr>
              <w:pStyle w:val="Prosttext"/>
              <w:spacing w:line="276" w:lineRule="auto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2. a každý další pes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65CC" w14:textId="77777777" w:rsidR="00887A11" w:rsidRDefault="00887A11">
            <w:pPr>
              <w:pStyle w:val="Prosttext"/>
              <w:spacing w:line="276" w:lineRule="auto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 xml:space="preserve">1. pes </w:t>
            </w:r>
            <w:r>
              <w:rPr>
                <w:rFonts w:ascii="Times New Roman" w:hAnsi="Times New Roman" w:cs="Courier New"/>
                <w:b/>
                <w:sz w:val="24"/>
                <w:lang w:val="cs-CZ" w:eastAsia="cs-CZ"/>
              </w:rPr>
              <w:t>poplatník 65+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0379" w14:textId="77777777" w:rsidR="00887A11" w:rsidRDefault="00887A11">
            <w:pPr>
              <w:pStyle w:val="Prosttext"/>
              <w:spacing w:line="276" w:lineRule="auto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2.a každý další pes</w:t>
            </w:r>
            <w:r>
              <w:rPr>
                <w:rFonts w:ascii="Times New Roman" w:hAnsi="Times New Roman" w:cs="Courier New"/>
                <w:b/>
                <w:sz w:val="24"/>
                <w:lang w:val="cs-CZ" w:eastAsia="cs-CZ"/>
              </w:rPr>
              <w:t xml:space="preserve"> poplatník 65+</w:t>
            </w:r>
          </w:p>
        </w:tc>
      </w:tr>
      <w:tr w:rsidR="00887A11" w14:paraId="74DCE07B" w14:textId="77777777" w:rsidTr="00887A11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0BD8" w14:textId="77777777" w:rsidR="00887A11" w:rsidRDefault="00887A11">
            <w:pPr>
              <w:pStyle w:val="Prosttext"/>
              <w:spacing w:line="276" w:lineRule="auto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a) ze psa chovaného v rodinném domě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71F68" w14:textId="77777777" w:rsidR="00887A11" w:rsidRDefault="00887A11">
            <w:pPr>
              <w:pStyle w:val="Prosttext"/>
              <w:spacing w:line="276" w:lineRule="auto"/>
              <w:ind w:left="-63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200,- Kč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ACA0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250,- Kč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759C8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100,- Kč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C1776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150,- Kč</w:t>
            </w:r>
          </w:p>
        </w:tc>
      </w:tr>
      <w:tr w:rsidR="00887A11" w14:paraId="7195E5A6" w14:textId="77777777" w:rsidTr="00887A11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CDFC" w14:textId="77777777" w:rsidR="00887A11" w:rsidRDefault="00887A11">
            <w:pPr>
              <w:pStyle w:val="Prosttext"/>
              <w:spacing w:line="276" w:lineRule="auto"/>
              <w:outlineLvl w:val="0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 xml:space="preserve">b) za psa chovaného v rodinném domě v řadové zástavbě                 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72DC4" w14:textId="77777777" w:rsidR="00887A11" w:rsidRDefault="00887A11">
            <w:pPr>
              <w:pStyle w:val="Prosttext"/>
              <w:spacing w:line="276" w:lineRule="auto"/>
              <w:ind w:left="-63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300,- Kč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7D49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400,- Kč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457F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150,- Kč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C2CC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200,- Kč</w:t>
            </w:r>
          </w:p>
        </w:tc>
      </w:tr>
      <w:tr w:rsidR="00887A11" w14:paraId="167B0028" w14:textId="77777777" w:rsidTr="00887A11">
        <w:trPr>
          <w:trHeight w:val="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0479" w14:textId="77777777" w:rsidR="00887A11" w:rsidRDefault="00887A11">
            <w:pPr>
              <w:pStyle w:val="Prosttext"/>
              <w:spacing w:line="276" w:lineRule="auto"/>
              <w:outlineLvl w:val="0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 xml:space="preserve">c) za psa chovaného v bytovém domě (má více než 3 samostatné </w:t>
            </w:r>
            <w:proofErr w:type="gramStart"/>
            <w:r>
              <w:rPr>
                <w:rFonts w:ascii="Times New Roman" w:hAnsi="Times New Roman" w:cs="Courier New"/>
                <w:sz w:val="24"/>
                <w:lang w:val="cs-CZ" w:eastAsia="cs-CZ"/>
              </w:rPr>
              <w:t xml:space="preserve">byty)   </w:t>
            </w:r>
            <w:proofErr w:type="gramEnd"/>
            <w:r>
              <w:rPr>
                <w:rFonts w:ascii="Times New Roman" w:hAnsi="Times New Roman" w:cs="Courier New"/>
                <w:sz w:val="24"/>
                <w:lang w:val="cs-CZ" w:eastAsia="cs-CZ"/>
              </w:rPr>
              <w:t xml:space="preserve">  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507A" w14:textId="77777777" w:rsidR="00887A11" w:rsidRDefault="00887A11">
            <w:pPr>
              <w:pStyle w:val="Prosttext"/>
              <w:spacing w:line="276" w:lineRule="auto"/>
              <w:ind w:left="-63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400,- Kč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C2CD7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600,- Kč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109BF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150,- Kč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D5D3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200,- Kč</w:t>
            </w:r>
          </w:p>
        </w:tc>
      </w:tr>
      <w:tr w:rsidR="00887A11" w14:paraId="73383827" w14:textId="77777777" w:rsidTr="00887A11">
        <w:trPr>
          <w:trHeight w:val="80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C1C5CB" w14:textId="77777777" w:rsidR="00887A11" w:rsidRDefault="00887A11">
            <w:pPr>
              <w:pStyle w:val="Prosttext"/>
              <w:spacing w:line="276" w:lineRule="auto"/>
              <w:outlineLvl w:val="0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 xml:space="preserve">d) za psa určeného ke hlídání objektů pro průmysl, obchod, zemědělství, skladování, správu a řízení            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CDA642" w14:textId="77777777" w:rsidR="00887A11" w:rsidRDefault="00887A11">
            <w:pPr>
              <w:pStyle w:val="Prosttext"/>
              <w:spacing w:line="276" w:lineRule="auto"/>
              <w:ind w:left="-63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200,- Kč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FFD93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250,- Kč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FFB2C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150,- Kč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389BF" w14:textId="77777777" w:rsidR="00887A11" w:rsidRDefault="00887A11">
            <w:pPr>
              <w:pStyle w:val="Prosttext"/>
              <w:spacing w:line="276" w:lineRule="auto"/>
              <w:ind w:left="-108"/>
              <w:jc w:val="center"/>
              <w:rPr>
                <w:rFonts w:ascii="Times New Roman" w:hAnsi="Times New Roman" w:cs="Courier New"/>
                <w:sz w:val="24"/>
                <w:lang w:val="cs-CZ" w:eastAsia="cs-CZ"/>
              </w:rPr>
            </w:pPr>
            <w:r>
              <w:rPr>
                <w:rFonts w:ascii="Times New Roman" w:hAnsi="Times New Roman" w:cs="Courier New"/>
                <w:sz w:val="24"/>
                <w:lang w:val="cs-CZ" w:eastAsia="cs-CZ"/>
              </w:rPr>
              <w:t>200,- Kč</w:t>
            </w:r>
          </w:p>
        </w:tc>
      </w:tr>
    </w:tbl>
    <w:p w14:paraId="470896BD" w14:textId="77777777" w:rsidR="00887A11" w:rsidRPr="00887A11" w:rsidRDefault="00887A11" w:rsidP="00887A11">
      <w:pPr>
        <w:pStyle w:val="Nzvylnk"/>
        <w:ind w:left="567"/>
        <w:jc w:val="left"/>
        <w:rPr>
          <w:rFonts w:ascii="Arial" w:hAnsi="Arial" w:cs="Arial"/>
          <w:b w:val="0"/>
          <w:highlight w:val="magenta"/>
        </w:rPr>
      </w:pPr>
    </w:p>
    <w:p w14:paraId="018358DB" w14:textId="640102C6" w:rsidR="007F423A" w:rsidRDefault="00887A11" w:rsidP="00887A11">
      <w:p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(2)</w:t>
      </w:r>
      <w:r w:rsidR="007F423A" w:rsidRPr="00887A11"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="007F423A" w:rsidRPr="00887A11">
        <w:rPr>
          <w:rFonts w:ascii="Arial" w:hAnsi="Arial" w:cs="Arial"/>
          <w:sz w:val="22"/>
          <w:szCs w:val="22"/>
        </w:rPr>
        <w:t>kratší</w:t>
      </w:r>
      <w:proofErr w:type="gramEnd"/>
      <w:r w:rsidR="007F423A" w:rsidRPr="00887A11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2AF55A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A34CF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C09430A" w:rsidR="00C735F5" w:rsidRPr="005A34CF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5A34CF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5A34CF">
        <w:rPr>
          <w:rFonts w:ascii="Arial" w:hAnsi="Arial" w:cs="Arial"/>
          <w:sz w:val="22"/>
          <w:szCs w:val="22"/>
        </w:rPr>
        <w:t xml:space="preserve"> 11. 11</w:t>
      </w:r>
      <w:r w:rsidRPr="00887C2A">
        <w:rPr>
          <w:rFonts w:ascii="Arial" w:hAnsi="Arial" w:cs="Arial"/>
          <w:sz w:val="22"/>
          <w:szCs w:val="22"/>
        </w:rPr>
        <w:t>. 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62A25063" w14:textId="11F1D75F" w:rsidR="00A80117" w:rsidRDefault="00A80117" w:rsidP="005A34C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BBA1EE" w14:textId="77777777" w:rsidR="00887A11" w:rsidRDefault="00887A11" w:rsidP="005A34C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D5E8AF8" w14:textId="57946076" w:rsidR="005A34CF" w:rsidRPr="002E0EAD" w:rsidRDefault="005A34CF" w:rsidP="005A34C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……..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06014A" w14:textId="77777777" w:rsidR="005A34CF" w:rsidRDefault="005A34CF" w:rsidP="005A34C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Martin Šabata v. r. </w:t>
      </w:r>
      <w:r>
        <w:rPr>
          <w:rFonts w:ascii="Arial" w:hAnsi="Arial" w:cs="Arial"/>
          <w:sz w:val="22"/>
          <w:szCs w:val="22"/>
        </w:rPr>
        <w:tab/>
        <w:t>Milan Bárta v. r.</w:t>
      </w:r>
    </w:p>
    <w:p w14:paraId="246C72BD" w14:textId="77777777" w:rsidR="005A34CF" w:rsidRPr="002E0EAD" w:rsidRDefault="005A34CF" w:rsidP="005A34C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starosta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F7A8410" w14:textId="77777777" w:rsidR="005A34CF" w:rsidRPr="002E0EAD" w:rsidRDefault="005A34CF" w:rsidP="005A34C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CB24" w14:textId="77777777" w:rsidR="00363234" w:rsidRDefault="00363234">
      <w:r>
        <w:separator/>
      </w:r>
    </w:p>
  </w:endnote>
  <w:endnote w:type="continuationSeparator" w:id="0">
    <w:p w14:paraId="5BFE8646" w14:textId="77777777" w:rsidR="00363234" w:rsidRDefault="0036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A9227F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63E6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2096" w14:textId="77777777" w:rsidR="00363234" w:rsidRDefault="00363234">
      <w:r>
        <w:separator/>
      </w:r>
    </w:p>
  </w:footnote>
  <w:footnote w:type="continuationSeparator" w:id="0">
    <w:p w14:paraId="794E1CD2" w14:textId="77777777" w:rsidR="00363234" w:rsidRDefault="0036323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8448304">
    <w:abstractNumId w:val="15"/>
  </w:num>
  <w:num w:numId="2" w16cid:durableId="200364335">
    <w:abstractNumId w:val="17"/>
  </w:num>
  <w:num w:numId="3" w16cid:durableId="557715214">
    <w:abstractNumId w:val="8"/>
  </w:num>
  <w:num w:numId="4" w16cid:durableId="1913848052">
    <w:abstractNumId w:val="12"/>
  </w:num>
  <w:num w:numId="5" w16cid:durableId="384255408">
    <w:abstractNumId w:val="13"/>
  </w:num>
  <w:num w:numId="6" w16cid:durableId="1769890487">
    <w:abstractNumId w:val="5"/>
  </w:num>
  <w:num w:numId="7" w16cid:durableId="355157482">
    <w:abstractNumId w:val="0"/>
  </w:num>
  <w:num w:numId="8" w16cid:durableId="69816837">
    <w:abstractNumId w:val="9"/>
  </w:num>
  <w:num w:numId="9" w16cid:durableId="2054577844">
    <w:abstractNumId w:val="6"/>
  </w:num>
  <w:num w:numId="10" w16cid:durableId="230701617">
    <w:abstractNumId w:val="10"/>
  </w:num>
  <w:num w:numId="11" w16cid:durableId="1417358556">
    <w:abstractNumId w:val="2"/>
  </w:num>
  <w:num w:numId="12" w16cid:durableId="243346860">
    <w:abstractNumId w:val="4"/>
  </w:num>
  <w:num w:numId="13" w16cid:durableId="944575412">
    <w:abstractNumId w:val="11"/>
  </w:num>
  <w:num w:numId="14" w16cid:durableId="8852152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7062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6227555">
    <w:abstractNumId w:val="14"/>
  </w:num>
  <w:num w:numId="17" w16cid:durableId="621764488">
    <w:abstractNumId w:val="16"/>
  </w:num>
  <w:num w:numId="18" w16cid:durableId="839780732">
    <w:abstractNumId w:val="1"/>
  </w:num>
  <w:num w:numId="19" w16cid:durableId="168755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3E60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33B0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3234"/>
    <w:rsid w:val="00364828"/>
    <w:rsid w:val="003729C0"/>
    <w:rsid w:val="0038221A"/>
    <w:rsid w:val="003B1DF1"/>
    <w:rsid w:val="003C1B30"/>
    <w:rsid w:val="003D6810"/>
    <w:rsid w:val="003E405C"/>
    <w:rsid w:val="003F4FD0"/>
    <w:rsid w:val="00403D44"/>
    <w:rsid w:val="00405FFB"/>
    <w:rsid w:val="004141B8"/>
    <w:rsid w:val="00423EC6"/>
    <w:rsid w:val="00435A5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4C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E5736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C3821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A11"/>
    <w:rsid w:val="00887C2A"/>
    <w:rsid w:val="00887F1C"/>
    <w:rsid w:val="00893668"/>
    <w:rsid w:val="00893F98"/>
    <w:rsid w:val="00895C29"/>
    <w:rsid w:val="008C280A"/>
    <w:rsid w:val="008C2A0B"/>
    <w:rsid w:val="008C60C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36C4C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BE119E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Prosttext">
    <w:name w:val="Plain Text"/>
    <w:basedOn w:val="Normln"/>
    <w:link w:val="ProsttextChar"/>
    <w:unhideWhenUsed/>
    <w:rsid w:val="00887A1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87A11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8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F41-EF42-4074-8B68-19410A4A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Soňa Vlasáková</cp:lastModifiedBy>
  <cp:revision>6</cp:revision>
  <cp:lastPrinted>2023-10-04T14:18:00Z</cp:lastPrinted>
  <dcterms:created xsi:type="dcterms:W3CDTF">2023-09-13T07:03:00Z</dcterms:created>
  <dcterms:modified xsi:type="dcterms:W3CDTF">2023-10-04T14:20:00Z</dcterms:modified>
</cp:coreProperties>
</file>