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ln"/>
        <w:jc w:val="both"/>
        <w:rPr>
          <w:rFonts w:ascii="Arial" w:hAnsi="Arial" w:cs="Arial"/>
          <w:b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</w:r>
    </w:p>
    <w:p>
      <w:pPr>
        <w:pStyle w:val="Zkladntext"/>
        <w:spacing w:before="0" w:after="0"/>
        <w:jc w:val="center"/>
        <w:rPr>
          <w:rFonts w:ascii="Arial" w:hAnsi="Arial" w:cs="Arial"/>
          <w:b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>Městys Přídolí</w:t>
      </w:r>
    </w:p>
    <w:p>
      <w:pPr>
        <w:pStyle w:val="Zkladntext"/>
        <w:spacing w:before="0" w:after="0"/>
        <w:jc w:val="center"/>
        <w:rPr>
          <w:rFonts w:ascii="Arial" w:hAnsi="Arial" w:cs="Arial"/>
          <w:b/>
          <w:b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>Zastupitelstvo městyse Přídolí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lnIMP"/>
        <w:spacing w:lineRule="auto" w:line="240"/>
        <w:jc w:val="center"/>
        <w:rPr/>
      </w:pPr>
      <w:r>
        <w:rPr>
          <w:rStyle w:val="Standardnpsmoodstavce"/>
          <w:rFonts w:cs="Arial" w:ascii="Arial" w:hAnsi="Arial"/>
          <w:b/>
          <w:szCs w:val="24"/>
        </w:rPr>
        <w:t>Obecně závazná vyhláška městyse Přídolí</w:t>
      </w:r>
    </w:p>
    <w:p>
      <w:pPr>
        <w:pStyle w:val="Normln"/>
        <w:spacing w:before="0" w:after="12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regulaci provozování hazardních her</w:t>
      </w:r>
    </w:p>
    <w:p>
      <w:pPr>
        <w:pStyle w:val="Normln"/>
        <w:jc w:val="both"/>
        <w:rPr>
          <w:rFonts w:ascii="Arial" w:hAnsi="Arial" w:cs="Arial"/>
          <w:b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</w:r>
    </w:p>
    <w:p>
      <w:pPr>
        <w:pStyle w:val="Zkladntext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Zastupitelstvo městyse Přídolí se na svém zasedání dne 02. 04. 2026 usneslo vydat na základě ustanovení § 10 písm. a) a § 84 odst. 2 písm. h) zákona č. 128/2000 Sb., o obcích (obecní zřízení), ve znění pozdějších předpisů, a v souladu s ustanovením § 12 odst. 1 zákona č. 186/2016 Sb., o hazardních hrách, ve znění pozdějších předpisů, tuto obecně závaznou vyhlášku (dále jen „vyhláška“):</w:t>
      </w:r>
    </w:p>
    <w:p>
      <w:pPr>
        <w:pStyle w:val="Normln"/>
        <w:jc w:val="both"/>
        <w:rPr>
          <w:rFonts w:ascii="Arial" w:hAnsi="Arial" w:cs="Arial"/>
          <w:b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</w:r>
    </w:p>
    <w:p>
      <w:pPr>
        <w:pStyle w:val="Normln"/>
        <w:jc w:val="both"/>
        <w:rPr>
          <w:rFonts w:ascii="Arial" w:hAnsi="Arial" w:cs="Arial"/>
          <w:b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</w:r>
    </w:p>
    <w:p>
      <w:pPr>
        <w:pStyle w:val="Normln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Článek 1</w:t>
      </w:r>
    </w:p>
    <w:p>
      <w:pPr>
        <w:pStyle w:val="Normln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Cíl vyhlášky</w:t>
      </w:r>
    </w:p>
    <w:p>
      <w:pPr>
        <w:pStyle w:val="Normln"/>
        <w:jc w:val="both"/>
        <w:rPr>
          <w:rFonts w:ascii="Arial" w:hAnsi="Arial" w:cs="Arial"/>
          <w:bCs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iCs/>
          <w:sz w:val="22"/>
          <w:szCs w:val="22"/>
        </w:rPr>
      </w:r>
    </w:p>
    <w:p>
      <w:pPr>
        <w:pStyle w:val="Normln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Cílem této vyhlášky je úplný zákaz provozování hazardních her v katastru městyse Přídolí.</w:t>
      </w:r>
    </w:p>
    <w:p>
      <w:pPr>
        <w:pStyle w:val="Normln"/>
        <w:jc w:val="both"/>
        <w:rPr>
          <w:rFonts w:ascii="Arial" w:hAnsi="Arial" w:cs="Arial"/>
          <w:b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</w:r>
    </w:p>
    <w:p>
      <w:pPr>
        <w:pStyle w:val="Normln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Článek 2</w:t>
      </w:r>
    </w:p>
    <w:p>
      <w:pPr>
        <w:pStyle w:val="Normln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Zákaz provozování </w:t>
      </w:r>
    </w:p>
    <w:p>
      <w:pPr>
        <w:pStyle w:val="Normln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Provozování binga, technické hry, živé hry a turnaje malého rozsahu je na celém území obce zakázáno.</w:t>
      </w:r>
    </w:p>
    <w:p>
      <w:pPr>
        <w:pStyle w:val="Normln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Článek 3</w:t>
      </w:r>
    </w:p>
    <w:p>
      <w:pPr>
        <w:pStyle w:val="Normln"/>
        <w:jc w:val="center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Přechodné ustanovení</w:t>
      </w:r>
    </w:p>
    <w:p>
      <w:pPr>
        <w:pStyle w:val="Normln"/>
        <w:jc w:val="both"/>
        <w:rPr>
          <w:rFonts w:ascii="Arial" w:hAnsi="Arial" w:cs="Arial"/>
          <w:b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</w:r>
    </w:p>
    <w:p>
      <w:pPr>
        <w:pStyle w:val="Normln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platnosti vydaného povolení. </w:t>
      </w:r>
    </w:p>
    <w:p>
      <w:pPr>
        <w:pStyle w:val="Normln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</w:r>
    </w:p>
    <w:p>
      <w:pPr>
        <w:pStyle w:val="Normln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cs="Arial" w:ascii="Arial" w:hAnsi="Arial"/>
          <w:bCs/>
          <w:iCs/>
          <w:sz w:val="22"/>
          <w:szCs w:val="22"/>
        </w:rPr>
      </w:r>
    </w:p>
    <w:p>
      <w:pPr>
        <w:pStyle w:val="Normln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Článek 4</w:t>
      </w:r>
    </w:p>
    <w:p>
      <w:pPr>
        <w:pStyle w:val="Normln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Účinnost</w:t>
      </w:r>
    </w:p>
    <w:p>
      <w:pPr>
        <w:pStyle w:val="Normln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p>
      <w:pPr>
        <w:pStyle w:val="Normln"/>
        <w:jc w:val="both"/>
        <w:rPr>
          <w:rFonts w:ascii="Arial" w:hAnsi="Arial" w:cs="Arial"/>
          <w:b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</w:r>
    </w:p>
    <w:p>
      <w:pPr>
        <w:pStyle w:val="Normln"/>
        <w:jc w:val="both"/>
        <w:rPr>
          <w:rFonts w:ascii="Arial" w:hAnsi="Arial" w:cs="Arial"/>
          <w:b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</w:r>
    </w:p>
    <w:p>
      <w:pPr>
        <w:pStyle w:val="Normln"/>
        <w:jc w:val="both"/>
        <w:rPr>
          <w:rFonts w:ascii="Arial" w:hAnsi="Arial" w:cs="Arial"/>
          <w:b/>
          <w:b/>
          <w:bCs/>
          <w:i/>
          <w:i/>
          <w:iCs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</w:r>
    </w:p>
    <w:p>
      <w:pPr>
        <w:pStyle w:val="Zkladntext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ab/>
        <w:t xml:space="preserve">      </w:t>
      </w:r>
    </w:p>
    <w:p>
      <w:pPr>
        <w:pStyle w:val="Zkladntext"/>
        <w:tabs>
          <w:tab w:val="clear" w:pos="708"/>
          <w:tab w:val="left" w:pos="720" w:leader="none"/>
          <w:tab w:val="left" w:pos="6120" w:leader="none"/>
        </w:tabs>
        <w:spacing w:lineRule="auto" w:line="288" w:before="0" w:after="0"/>
        <w:ind w:left="-284" w:right="0" w:hanging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............................................</w:t>
        <w:tab/>
        <w:t xml:space="preserve"> .........................................</w:t>
      </w:r>
    </w:p>
    <w:p>
      <w:pPr>
        <w:pStyle w:val="Zkladntext"/>
        <w:tabs>
          <w:tab w:val="clear" w:pos="708"/>
          <w:tab w:val="left" w:pos="1080" w:leader="none"/>
          <w:tab w:val="left" w:pos="6660" w:leader="none"/>
        </w:tabs>
        <w:spacing w:lineRule="auto" w:line="288" w:before="0" w:after="0"/>
        <w:ind w:left="-284"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      </w:t>
      </w:r>
      <w:r>
        <w:rPr>
          <w:rFonts w:cs="Arial" w:ascii="Arial" w:hAnsi="Arial"/>
          <w:sz w:val="22"/>
          <w:szCs w:val="22"/>
        </w:rPr>
        <w:t>Ing. Vítězslav Jílek v. r.                                                    Bohuslav Turek, DiS. v. r.</w:t>
      </w:r>
    </w:p>
    <w:p>
      <w:pPr>
        <w:pStyle w:val="Zkladntext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ind w:left="-284" w:righ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    starosta                                                                           místostarosta</w:t>
      </w:r>
    </w:p>
    <w:p>
      <w:pPr>
        <w:pStyle w:val="Normln"/>
        <w:tabs>
          <w:tab w:val="clear" w:pos="708"/>
        </w:tabs>
        <w:ind w:left="-284" w:right="0" w:hanging="0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</w:r>
    </w:p>
    <w:p>
      <w:pPr>
        <w:pStyle w:val="Normln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</w:r>
    </w:p>
    <w:sectPr>
      <w:type w:val="nextPage"/>
      <w:pgSz w:w="11906" w:h="16838"/>
      <w:pgMar w:left="1417" w:right="1417" w:gutter="0" w:header="0" w:top="1134" w:footer="0" w:bottom="1843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cs-CZ" w:eastAsia="en-US" w:bidi="ar-SA"/>
      </w:rPr>
    </w:rPrDefault>
    <w:pPrDefault>
      <w:pPr>
        <w:widowControl/>
        <w:suppressAutoHyphens w:val="false"/>
        <w:spacing w:lineRule="auto" w:line="276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76" w:before="0" w:after="20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cs-CZ" w:eastAsia="en-US" w:bidi="ar-SA"/>
    </w:rPr>
  </w:style>
  <w:style w:type="paragraph" w:styleId="Nadpis1">
    <w:name w:val="Heading 1"/>
    <w:basedOn w:val="Normln"/>
    <w:next w:val="Normln"/>
    <w:qFormat/>
    <w:pPr>
      <w:keepNext w:val="true"/>
      <w:numPr>
        <w:ilvl w:val="0"/>
        <w:numId w:val="1"/>
      </w:numPr>
      <w:suppressAutoHyphens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qFormat/>
    <w:pPr>
      <w:keepNext w:val="true"/>
      <w:numPr>
        <w:ilvl w:val="1"/>
        <w:numId w:val="1"/>
      </w:numPr>
      <w:suppressAutoHyphens w:val="true"/>
      <w:jc w:val="both"/>
      <w:outlineLvl w:val="1"/>
    </w:pPr>
    <w:rPr>
      <w:szCs w:val="20"/>
      <w:u w:val="single"/>
    </w:rPr>
  </w:style>
  <w:style w:type="character" w:styleId="Standardnpsmoodstavce">
    <w:name w:val="Standardní písmo odstavce"/>
    <w:qFormat/>
    <w:rPr/>
  </w:style>
  <w:style w:type="character" w:styleId="ZkladntextChar">
    <w:name w:val="Základní text Char"/>
    <w:basedOn w:val="Standardnpsmoodstavce"/>
    <w:qFormat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Nadpis2Char">
    <w:name w:val="Nadpis 2 Char"/>
    <w:basedOn w:val="Standardnpsmoodstavce"/>
    <w:qFormat/>
    <w:rPr>
      <w:rFonts w:ascii="Times New Roman" w:hAnsi="Times New Roman" w:eastAsia="Times New Roman" w:cs="Times New Roman"/>
      <w:sz w:val="24"/>
      <w:szCs w:val="20"/>
      <w:u w:val="single"/>
      <w:lang w:eastAsia="cs-CZ"/>
    </w:rPr>
  </w:style>
  <w:style w:type="character" w:styleId="ZhlavChar">
    <w:name w:val="Záhlaví Char"/>
    <w:basedOn w:val="Standardnpsmoodstavce"/>
    <w:qFormat/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Nadpis1Char">
    <w:name w:val="Nadpis 1 Char"/>
    <w:basedOn w:val="Standardnpsmoodstavce"/>
    <w:qFormat/>
    <w:rPr>
      <w:rFonts w:ascii="Cambria" w:hAnsi="Cambria" w:eastAsia="Times New Roman" w:cs="Times New Roman"/>
      <w:b/>
      <w:bCs/>
      <w:kern w:val="2"/>
      <w:sz w:val="32"/>
      <w:szCs w:val="32"/>
      <w:lang w:eastAsia="cs-CZ"/>
    </w:rPr>
  </w:style>
  <w:style w:type="character" w:styleId="ZpatChar">
    <w:name w:val="Zápatí Char"/>
    <w:basedOn w:val="Standardnpsmoodstavce"/>
    <w:qFormat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S Gothic" w:cs="Tahoma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eastAsia="cs-CZ" w:val="cs-CZ" w:bidi="ar-SA"/>
    </w:rPr>
  </w:style>
  <w:style w:type="paragraph" w:styleId="Zkladntext">
    <w:name w:val="Základní text"/>
    <w:basedOn w:val="Normln"/>
    <w:qFormat/>
    <w:pPr>
      <w:suppressAutoHyphens w:val="true"/>
      <w:spacing w:before="0" w:after="120"/>
    </w:pPr>
    <w:rPr>
      <w:szCs w:val="20"/>
    </w:rPr>
  </w:style>
  <w:style w:type="paragraph" w:styleId="NormlnIMP">
    <w:name w:val="Normální_IMP"/>
    <w:basedOn w:val="Normln"/>
    <w:qFormat/>
    <w:pPr>
      <w:suppressAutoHyphens w:val="true"/>
      <w:overflowPunct w:val="false"/>
      <w:autoSpaceDE w:val="false"/>
      <w:spacing w:lineRule="auto" w:line="228"/>
      <w:jc w:val="both"/>
    </w:pPr>
    <w:rPr>
      <w:szCs w:val="20"/>
    </w:rPr>
  </w:style>
  <w:style w:type="paragraph" w:styleId="Zhlavazpat">
    <w:name w:val="Záhlaví a zápatí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Normln"/>
    <w:pPr>
      <w:tabs>
        <w:tab w:val="clear" w:pos="708"/>
        <w:tab w:val="center" w:pos="4536" w:leader="none"/>
        <w:tab w:val="right" w:pos="9072" w:leader="none"/>
      </w:tabs>
      <w:suppressAutoHyphens w:val="true"/>
    </w:pPr>
    <w:rPr>
      <w:szCs w:val="20"/>
    </w:rPr>
  </w:style>
  <w:style w:type="paragraph" w:styleId="Odstavecseseznamem">
    <w:name w:val="Odstavec se seznamem"/>
    <w:basedOn w:val="Normln"/>
    <w:qFormat/>
    <w:pPr>
      <w:tabs>
        <w:tab w:val="clear" w:pos="708"/>
      </w:tabs>
      <w:suppressAutoHyphens w:val="true"/>
      <w:ind w:left="720" w:right="0" w:hanging="0"/>
    </w:pPr>
    <w:rPr/>
  </w:style>
  <w:style w:type="paragraph" w:styleId="Zpat">
    <w:name w:val="Footer"/>
    <w:basedOn w:val="Normln"/>
    <w:pPr>
      <w:tabs>
        <w:tab w:val="clear" w:pos="708"/>
        <w:tab w:val="center" w:pos="4536" w:leader="none"/>
        <w:tab w:val="right" w:pos="9072" w:leader="none"/>
      </w:tabs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LibreOffice/7.3.1.3$Windows_X86_64 LibreOffice_project/a69ca51ded25f3eefd52d7bf9a5fad8c90b87951</Application>
  <AppVersion>15.0000</AppVersion>
  <Pages>1</Pages>
  <Words>175</Words>
  <Characters>1053</Characters>
  <CharactersWithSpaces>1368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2026-04-08T09:49:00Z</dcterms:created>
  <dc:creator>MVCR</dc:creator>
  <dc:description/>
  <dc:language>cs-CZ</dc:language>
  <cp:lastModifiedBy/>
  <dcterms:modified xsi:type="dcterms:W3CDTF">2026-04-08T11:52:38Z</dcterms:modified>
  <cp:revision>3</cp:revision>
  <dc:subject/>
  <dc:title/>
</cp:coreProperties>
</file>