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Kamenný Most</w:t>
        <w:br/>
        <w:t xml:space="preserve">Zastupitelstvo obce Kamenný Most</w:t>
      </w:r>
    </w:p>
    <w:p>
      <w:pPr>
        <w:spacing w:before="238" w:after="238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Kamenn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ý Most</w:t>
        <w:br/>
        <w:t xml:space="preserve">o místním poplatku za 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ého prostranství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Kamenný Most se na svém zasedání dne 3.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června 2024 usneslo vydat na 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 o místních poplatcích“), a v souladu s § 10 písm. d) a § 84 odst. 2 písm. 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 Kamenný Most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Předmět poplatku a 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se vybírá za 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prostranství, kterým se rozumí: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slou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ících pro poskytování prodeje,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reklamních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výkopových prací,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stavebních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skládek,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 kulturní akce,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 sportovní akce.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platí fyzické i právnické osoby, které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ívají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prostranství zp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ůsobem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ým v odstavci 1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ík“).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Veřejn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 prostranství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platí za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prostranství, kterým se rozumí pozemkové parcely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2/8, 16/3, 16/4, 16/5, 20/8, 45, 84/2, 93/53, 93/54, 95/1, 104/72, 107, 225/1, 225/6, 311, 393/2, 393/3, 393/5, 393/6, 393/7, 393/8, 393/9, 393/16, 393/17, 393/18, 396/1, 397/4, 412, 413/6, 413/7, 417, 427/3, 428.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15 dnů před zah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ájením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prostranství; není-li to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é, je povinen podat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v den zah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ájení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prostranství. Pokud tento den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řipadne na sobotu, neděli nebo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átem uznaný svátek, je poplatník povinen splnit 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povinnost nejblí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ásledující pracovní den.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 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poplatník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 dne, kdy nastala.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Sazba poplatku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za 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i zapo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m² a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i zapo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den: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slou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ících pro poskytování prodeje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reklamních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provád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výkopových prací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stavebních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skládek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 kulturní akce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 sportovní akce 10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 stanovuje poplatek pau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ální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ástkou: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slou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ících pro poskytování prodeje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reklamních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 provád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výkopových prací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stavebních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umíst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skládek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 kulturní akce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ýden,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pro sportovní akce 500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ýden.</w:t>
      </w:r>
    </w:p>
    <w:p>
      <w:pPr>
        <w:numPr>
          <w:ilvl w:val="0"/>
          <w:numId w:val="13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Volbu placení poplatku pau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ální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ástkou sd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poplatník správci poplatku v rámci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dle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 4.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Splatnost poplatku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je splatný v den ukon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prostranství.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stanovený pau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ální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ástkou je splatný do 2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 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átku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poplatkového období.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  <w:t xml:space="preserve"> Osvobozen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neplatí: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vyhrazení trvalého parkovacího místa pro osobu, která je 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žitelem průkazu ZTP nebo ZTP/P,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 akcí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ádaných na 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prostranství, jejich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cel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výt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ěžek je odveden na charitativn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a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řejně prospěšn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čely.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 poplatku se dále osvobozují Od poplatku za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 jsou osvobozeny akce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ádané Obcí Kamenný Most.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nesplní povinnost ohlásit údaj rozhodný pro osvobození ve 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ách stanovených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nebo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ákonem, nárok na osvobození zaniká.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  <w:br/>
        <w:t xml:space="preserve"> Přechodn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a zru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ustanovení </w:t>
      </w:r>
    </w:p>
    <w:p>
      <w:pPr>
        <w:numPr>
          <w:ilvl w:val="0"/>
          <w:numId w:val="1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Poplatkové povinnosti vzniklé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 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se posuzuj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dosavadních právních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ředpisů.</w:t>
      </w:r>
    </w:p>
    <w:p>
      <w:pPr>
        <w:numPr>
          <w:ilvl w:val="0"/>
          <w:numId w:val="1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 se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č. 1/2023, 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za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prostranství, ze dne 11. prosince 2023.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9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tbl>
      <w:tblPr/>
      <w:tblGrid>
        <w:gridCol w:w="4820"/>
        <w:gridCol w:w="4820"/>
      </w:tblGrid>
      <w:tr>
        <w:trPr>
          <w:trHeight w:val="1134" w:hRule="auto"/>
          <w:jc w:val="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Jitka Luká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čov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á v. r.</w:t>
              <w:br/>
              <w:t xml:space="preserve">starostka </w:t>
            </w:r>
          </w:p>
        </w:tc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ěra Pat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ócsová v. r.</w:t>
              <w:br/>
              <w:t xml:space="preserve">místostarostka </w:t>
            </w:r>
          </w:p>
        </w:tc>
      </w:tr>
    </w:tbl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11">
    <w:abstractNumId w:val="24"/>
  </w:num>
  <w:num w:numId="13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