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0C73" w:rsidRDefault="00000000">
      <w:pPr>
        <w:pBdr>
          <w:top w:val="nil"/>
          <w:left w:val="nil"/>
          <w:bottom w:val="nil"/>
          <w:right w:val="nil"/>
          <w:between w:val="nil"/>
        </w:pBdr>
        <w:spacing w:after="120"/>
        <w:jc w:val="center"/>
        <w:rPr>
          <w:rFonts w:ascii="Calibri" w:eastAsia="Calibri" w:hAnsi="Calibri" w:cs="Calibri"/>
          <w:b/>
          <w:color w:val="000000"/>
          <w:sz w:val="40"/>
          <w:szCs w:val="40"/>
        </w:rPr>
      </w:pPr>
      <w:r>
        <w:rPr>
          <w:rFonts w:ascii="Calibri" w:eastAsia="Calibri" w:hAnsi="Calibri" w:cs="Calibri"/>
          <w:b/>
          <w:color w:val="000000"/>
          <w:sz w:val="40"/>
          <w:szCs w:val="40"/>
        </w:rPr>
        <w:t>OBEC STRANČICE</w:t>
      </w:r>
    </w:p>
    <w:p w14:paraId="00000002" w14:textId="77777777" w:rsidR="00930C73" w:rsidRDefault="00000000">
      <w:pPr>
        <w:pBdr>
          <w:top w:val="nil"/>
          <w:left w:val="nil"/>
          <w:bottom w:val="nil"/>
          <w:right w:val="nil"/>
          <w:between w:val="nil"/>
        </w:pBdr>
        <w:spacing w:after="360"/>
        <w:jc w:val="center"/>
        <w:rPr>
          <w:rFonts w:ascii="Calibri" w:eastAsia="Calibri" w:hAnsi="Calibri" w:cs="Calibri"/>
          <w:b/>
          <w:color w:val="000000"/>
          <w:sz w:val="32"/>
          <w:szCs w:val="32"/>
        </w:rPr>
      </w:pPr>
      <w:r>
        <w:rPr>
          <w:rFonts w:ascii="Calibri" w:eastAsia="Calibri" w:hAnsi="Calibri" w:cs="Calibri"/>
          <w:b/>
          <w:color w:val="000000"/>
          <w:sz w:val="32"/>
          <w:szCs w:val="32"/>
        </w:rPr>
        <w:t>ZASTUPITELSTVO OBCE STRANČICE</w:t>
      </w:r>
    </w:p>
    <w:p w14:paraId="00000003" w14:textId="77777777" w:rsidR="00930C73" w:rsidRDefault="00000000">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Obecně závazná vyhláška </w:t>
      </w:r>
    </w:p>
    <w:p w14:paraId="00000004" w14:textId="77777777" w:rsidR="00930C73" w:rsidRDefault="00000000">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obce Strančice, o místním poplatku </w:t>
      </w:r>
    </w:p>
    <w:p w14:paraId="00000005" w14:textId="77777777" w:rsidR="00930C73" w:rsidRDefault="00000000">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za odkládání komunálního odpadu z nemovité věci</w:t>
      </w:r>
    </w:p>
    <w:p w14:paraId="00000006" w14:textId="77777777" w:rsidR="00930C73" w:rsidRDefault="00930C73">
      <w:pPr>
        <w:ind w:firstLine="540"/>
        <w:jc w:val="both"/>
        <w:rPr>
          <w:rFonts w:ascii="Calibri" w:eastAsia="Calibri" w:hAnsi="Calibri" w:cs="Calibri"/>
        </w:rPr>
      </w:pPr>
    </w:p>
    <w:p w14:paraId="00000007" w14:textId="23E09D28" w:rsidR="00930C73" w:rsidRDefault="00000000">
      <w:pPr>
        <w:ind w:firstLine="540"/>
        <w:jc w:val="both"/>
        <w:rPr>
          <w:rFonts w:ascii="Calibri" w:eastAsia="Calibri" w:hAnsi="Calibri" w:cs="Calibri"/>
          <w:sz w:val="28"/>
          <w:szCs w:val="28"/>
        </w:rPr>
      </w:pPr>
      <w:r>
        <w:rPr>
          <w:rFonts w:ascii="Calibri" w:eastAsia="Calibri" w:hAnsi="Calibri" w:cs="Calibri"/>
          <w:sz w:val="28"/>
          <w:szCs w:val="28"/>
        </w:rPr>
        <w:t>Zastupitelstvo obce Strančice se na svém zasedání dne</w:t>
      </w:r>
      <w:r w:rsidR="00A84A0B">
        <w:rPr>
          <w:rFonts w:ascii="Calibri" w:eastAsia="Calibri" w:hAnsi="Calibri" w:cs="Calibri"/>
          <w:sz w:val="28"/>
          <w:szCs w:val="28"/>
        </w:rPr>
        <w:t xml:space="preserve"> 12.12.2022</w:t>
      </w:r>
      <w:r>
        <w:rPr>
          <w:rFonts w:ascii="Calibri" w:eastAsia="Calibri" w:hAnsi="Calibri" w:cs="Calibri"/>
          <w:sz w:val="28"/>
          <w:szCs w:val="28"/>
        </w:rPr>
        <w:t xml:space="preserve">, </w:t>
      </w:r>
      <w:r w:rsidRPr="003125F7">
        <w:rPr>
          <w:rFonts w:ascii="Calibri" w:eastAsia="Calibri" w:hAnsi="Calibri" w:cs="Calibri"/>
          <w:sz w:val="28"/>
          <w:szCs w:val="28"/>
        </w:rPr>
        <w:t xml:space="preserve">usnesením </w:t>
      </w:r>
      <w:r w:rsidRPr="003125F7">
        <w:rPr>
          <w:rFonts w:asciiTheme="minorHAnsi" w:eastAsia="Calibri" w:hAnsiTheme="minorHAnsi" w:cstheme="minorHAnsi"/>
          <w:sz w:val="28"/>
          <w:szCs w:val="28"/>
        </w:rPr>
        <w:t xml:space="preserve">č. </w:t>
      </w:r>
      <w:r w:rsidR="00A84A0B" w:rsidRPr="003125F7">
        <w:rPr>
          <w:rFonts w:asciiTheme="minorHAnsi" w:hAnsiTheme="minorHAnsi" w:cstheme="minorHAnsi"/>
          <w:color w:val="000000"/>
          <w:sz w:val="28"/>
          <w:szCs w:val="28"/>
        </w:rPr>
        <w:t>Z-22-07-06,</w:t>
      </w:r>
      <w:r w:rsidRPr="003125F7">
        <w:rPr>
          <w:rFonts w:asciiTheme="minorHAnsi" w:eastAsia="Calibri" w:hAnsiTheme="minorHAnsi" w:cstheme="minorHAnsi"/>
          <w:sz w:val="28"/>
          <w:szCs w:val="28"/>
        </w:rPr>
        <w:t xml:space="preserve"> usneslo</w:t>
      </w:r>
      <w:r>
        <w:rPr>
          <w:rFonts w:ascii="Calibri" w:eastAsia="Calibri" w:hAnsi="Calibri" w:cs="Calibri"/>
          <w:sz w:val="28"/>
          <w:szCs w:val="28"/>
        </w:rP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00000008" w14:textId="77777777" w:rsidR="00930C73" w:rsidRDefault="00000000">
      <w:pPr>
        <w:keepNext/>
        <w:keepLines/>
        <w:pBdr>
          <w:top w:val="nil"/>
          <w:left w:val="nil"/>
          <w:bottom w:val="nil"/>
          <w:right w:val="nil"/>
          <w:between w:val="nil"/>
        </w:pBdr>
        <w:spacing w:before="240"/>
        <w:jc w:val="center"/>
        <w:rPr>
          <w:rFonts w:ascii="Calibri" w:eastAsia="Calibri" w:hAnsi="Calibri" w:cs="Calibri"/>
          <w:b/>
          <w:color w:val="000000"/>
          <w:sz w:val="28"/>
          <w:szCs w:val="28"/>
        </w:rPr>
      </w:pPr>
      <w:r>
        <w:rPr>
          <w:rFonts w:ascii="Calibri" w:eastAsia="Calibri" w:hAnsi="Calibri" w:cs="Calibri"/>
          <w:b/>
          <w:color w:val="000000"/>
          <w:sz w:val="28"/>
          <w:szCs w:val="28"/>
        </w:rPr>
        <w:t>Čl. 1</w:t>
      </w:r>
    </w:p>
    <w:p w14:paraId="00000009"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Úvodní ustanovení</w:t>
      </w:r>
    </w:p>
    <w:p w14:paraId="0000000A" w14:textId="77777777" w:rsidR="00930C73" w:rsidRDefault="00000000">
      <w:pPr>
        <w:numPr>
          <w:ilvl w:val="0"/>
          <w:numId w:val="1"/>
        </w:numPr>
        <w:pBdr>
          <w:top w:val="nil"/>
          <w:left w:val="nil"/>
          <w:bottom w:val="nil"/>
          <w:right w:val="nil"/>
          <w:between w:val="nil"/>
        </w:pBdr>
        <w:tabs>
          <w:tab w:val="left" w:pos="567"/>
        </w:tabs>
        <w:spacing w:after="120"/>
        <w:ind w:left="567" w:hanging="567"/>
        <w:jc w:val="both"/>
        <w:rPr>
          <w:rFonts w:ascii="Calibri" w:eastAsia="Calibri" w:hAnsi="Calibri" w:cs="Calibri"/>
          <w:color w:val="000000"/>
          <w:sz w:val="28"/>
          <w:szCs w:val="28"/>
        </w:rPr>
      </w:pPr>
      <w:r>
        <w:rPr>
          <w:rFonts w:ascii="Calibri" w:eastAsia="Calibri" w:hAnsi="Calibri" w:cs="Calibri"/>
          <w:color w:val="000000"/>
          <w:sz w:val="28"/>
          <w:szCs w:val="28"/>
        </w:rPr>
        <w:t>Obec Strančice touto vyhláškou zavádí místní poplatek za odkládání komunálního odpadu z nemovité věci (dále jen „poplatek“).</w:t>
      </w:r>
    </w:p>
    <w:p w14:paraId="0000000B" w14:textId="77777777" w:rsidR="00930C73" w:rsidRDefault="00000000">
      <w:pPr>
        <w:numPr>
          <w:ilvl w:val="0"/>
          <w:numId w:val="1"/>
        </w:numPr>
        <w:pBdr>
          <w:top w:val="nil"/>
          <w:left w:val="nil"/>
          <w:bottom w:val="nil"/>
          <w:right w:val="nil"/>
          <w:between w:val="nil"/>
        </w:pBdr>
        <w:tabs>
          <w:tab w:val="left" w:pos="567"/>
        </w:tabs>
        <w:ind w:left="567" w:hanging="567"/>
        <w:jc w:val="both"/>
        <w:rPr>
          <w:rFonts w:ascii="Calibri" w:eastAsia="Calibri" w:hAnsi="Calibri" w:cs="Calibri"/>
          <w:color w:val="000000"/>
          <w:sz w:val="28"/>
          <w:szCs w:val="28"/>
        </w:rPr>
      </w:pPr>
      <w:r>
        <w:rPr>
          <w:rFonts w:ascii="Calibri" w:eastAsia="Calibri" w:hAnsi="Calibri" w:cs="Calibri"/>
          <w:color w:val="000000"/>
          <w:sz w:val="28"/>
          <w:szCs w:val="28"/>
        </w:rPr>
        <w:t>Správcem poplatku je Obecní úřad Strančice</w:t>
      </w:r>
      <w:r>
        <w:rPr>
          <w:rFonts w:ascii="Calibri" w:eastAsia="Calibri" w:hAnsi="Calibri" w:cs="Calibri"/>
          <w:color w:val="000000"/>
          <w:sz w:val="28"/>
          <w:szCs w:val="28"/>
          <w:vertAlign w:val="superscript"/>
        </w:rPr>
        <w:t xml:space="preserve"> </w:t>
      </w:r>
      <w:r>
        <w:rPr>
          <w:rFonts w:ascii="Calibri" w:eastAsia="Calibri" w:hAnsi="Calibri" w:cs="Calibri"/>
          <w:color w:val="000000"/>
          <w:sz w:val="28"/>
          <w:szCs w:val="28"/>
          <w:vertAlign w:val="superscript"/>
        </w:rPr>
        <w:footnoteReference w:id="1"/>
      </w:r>
      <w:r>
        <w:rPr>
          <w:rFonts w:ascii="Calibri" w:eastAsia="Calibri" w:hAnsi="Calibri" w:cs="Calibri"/>
          <w:color w:val="000000"/>
          <w:sz w:val="28"/>
          <w:szCs w:val="28"/>
        </w:rPr>
        <w:t>.</w:t>
      </w:r>
    </w:p>
    <w:p w14:paraId="0000000C" w14:textId="77777777" w:rsidR="00930C73" w:rsidRDefault="00000000">
      <w:pPr>
        <w:keepNext/>
        <w:keepLines/>
        <w:pBdr>
          <w:top w:val="nil"/>
          <w:left w:val="nil"/>
          <w:bottom w:val="nil"/>
          <w:right w:val="nil"/>
          <w:between w:val="nil"/>
        </w:pBdr>
        <w:spacing w:before="240"/>
        <w:jc w:val="center"/>
        <w:rPr>
          <w:rFonts w:ascii="Calibri" w:eastAsia="Calibri" w:hAnsi="Calibri" w:cs="Calibri"/>
          <w:b/>
          <w:color w:val="000000"/>
          <w:sz w:val="28"/>
          <w:szCs w:val="28"/>
        </w:rPr>
      </w:pPr>
      <w:r>
        <w:rPr>
          <w:rFonts w:ascii="Calibri" w:eastAsia="Calibri" w:hAnsi="Calibri" w:cs="Calibri"/>
          <w:b/>
          <w:color w:val="000000"/>
          <w:sz w:val="28"/>
          <w:szCs w:val="28"/>
        </w:rPr>
        <w:t>Čl. 2</w:t>
      </w:r>
    </w:p>
    <w:p w14:paraId="0000000D"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Předmět poplatku, poplatník a plátce poplatku</w:t>
      </w:r>
    </w:p>
    <w:p w14:paraId="0000000E" w14:textId="77777777" w:rsidR="00930C73" w:rsidRDefault="00000000">
      <w:pPr>
        <w:numPr>
          <w:ilvl w:val="0"/>
          <w:numId w:val="2"/>
        </w:numPr>
        <w:pBdr>
          <w:top w:val="nil"/>
          <w:left w:val="nil"/>
          <w:bottom w:val="nil"/>
          <w:right w:val="nil"/>
          <w:between w:val="nil"/>
        </w:pBdr>
        <w:tabs>
          <w:tab w:val="left" w:pos="567"/>
        </w:tabs>
        <w:spacing w:after="120"/>
        <w:ind w:left="567" w:hanging="567"/>
        <w:jc w:val="both"/>
        <w:rPr>
          <w:rFonts w:ascii="Calibri" w:eastAsia="Calibri" w:hAnsi="Calibri" w:cs="Calibri"/>
          <w:color w:val="000000"/>
          <w:sz w:val="28"/>
          <w:szCs w:val="28"/>
        </w:rPr>
      </w:pPr>
      <w:r>
        <w:rPr>
          <w:rFonts w:ascii="Calibri" w:eastAsia="Calibri" w:hAnsi="Calibri" w:cs="Calibri"/>
          <w:color w:val="000000"/>
          <w:sz w:val="28"/>
          <w:szCs w:val="28"/>
        </w:rPr>
        <w:t>Předmětem poplatku je odkládání směsného komunálního odpadu z jednotlivé nemovité věci zahrnující byt, rodinný dům nebo stavbu pro rodinnou rekreaci, která se nachází na území obce</w:t>
      </w:r>
      <w:r>
        <w:rPr>
          <w:rFonts w:ascii="Calibri" w:eastAsia="Calibri" w:hAnsi="Calibri" w:cs="Calibri"/>
          <w:color w:val="000000"/>
          <w:sz w:val="28"/>
          <w:szCs w:val="28"/>
          <w:vertAlign w:val="superscript"/>
        </w:rPr>
        <w:footnoteReference w:id="2"/>
      </w:r>
      <w:r>
        <w:rPr>
          <w:rFonts w:ascii="Calibri" w:eastAsia="Calibri" w:hAnsi="Calibri" w:cs="Calibri"/>
          <w:color w:val="000000"/>
          <w:sz w:val="28"/>
          <w:szCs w:val="28"/>
        </w:rPr>
        <w:t xml:space="preserve"> (dále jen „nemovitá věc“).</w:t>
      </w:r>
    </w:p>
    <w:p w14:paraId="0000000F" w14:textId="77777777" w:rsidR="00930C73" w:rsidRDefault="00000000">
      <w:pPr>
        <w:numPr>
          <w:ilvl w:val="0"/>
          <w:numId w:val="2"/>
        </w:numPr>
        <w:pBdr>
          <w:top w:val="nil"/>
          <w:left w:val="nil"/>
          <w:bottom w:val="nil"/>
          <w:right w:val="nil"/>
          <w:between w:val="nil"/>
        </w:pBdr>
        <w:tabs>
          <w:tab w:val="left" w:pos="567"/>
        </w:tabs>
        <w:ind w:left="567" w:hanging="567"/>
        <w:jc w:val="both"/>
        <w:rPr>
          <w:rFonts w:ascii="Calibri" w:eastAsia="Calibri" w:hAnsi="Calibri" w:cs="Calibri"/>
          <w:color w:val="000000"/>
          <w:sz w:val="28"/>
          <w:szCs w:val="28"/>
        </w:rPr>
      </w:pPr>
      <w:r>
        <w:rPr>
          <w:rFonts w:ascii="Calibri" w:eastAsia="Calibri" w:hAnsi="Calibri" w:cs="Calibri"/>
          <w:color w:val="000000"/>
          <w:sz w:val="28"/>
          <w:szCs w:val="28"/>
        </w:rPr>
        <w:t>Poplatníkem poplatku je</w:t>
      </w:r>
      <w:r>
        <w:rPr>
          <w:rFonts w:ascii="Calibri" w:eastAsia="Calibri" w:hAnsi="Calibri" w:cs="Calibri"/>
          <w:color w:val="000000"/>
          <w:sz w:val="28"/>
          <w:szCs w:val="28"/>
          <w:vertAlign w:val="superscript"/>
        </w:rPr>
        <w:footnoteReference w:id="3"/>
      </w:r>
    </w:p>
    <w:p w14:paraId="00000010" w14:textId="77777777" w:rsidR="00930C73" w:rsidRDefault="00000000">
      <w:pPr>
        <w:numPr>
          <w:ilvl w:val="1"/>
          <w:numId w:val="2"/>
        </w:numPr>
        <w:pBdr>
          <w:top w:val="nil"/>
          <w:left w:val="nil"/>
          <w:bottom w:val="nil"/>
          <w:right w:val="nil"/>
          <w:between w:val="nil"/>
        </w:pBdr>
        <w:tabs>
          <w:tab w:val="left" w:pos="993"/>
        </w:tabs>
        <w:ind w:left="993"/>
        <w:jc w:val="both"/>
        <w:rPr>
          <w:rFonts w:ascii="Calibri" w:eastAsia="Calibri" w:hAnsi="Calibri" w:cs="Calibri"/>
          <w:color w:val="000000"/>
          <w:sz w:val="28"/>
          <w:szCs w:val="28"/>
        </w:rPr>
      </w:pPr>
      <w:r>
        <w:rPr>
          <w:rFonts w:ascii="Calibri" w:eastAsia="Calibri" w:hAnsi="Calibri" w:cs="Calibri"/>
          <w:color w:val="000000"/>
          <w:sz w:val="28"/>
          <w:szCs w:val="28"/>
        </w:rPr>
        <w:t>fyzická osoba, která má v nemovité věci bydliště, nebo</w:t>
      </w:r>
    </w:p>
    <w:p w14:paraId="00000011" w14:textId="77777777" w:rsidR="00930C73" w:rsidRDefault="00000000">
      <w:pPr>
        <w:numPr>
          <w:ilvl w:val="1"/>
          <w:numId w:val="2"/>
        </w:numPr>
        <w:pBdr>
          <w:top w:val="nil"/>
          <w:left w:val="nil"/>
          <w:bottom w:val="nil"/>
          <w:right w:val="nil"/>
          <w:between w:val="nil"/>
        </w:pBdr>
        <w:tabs>
          <w:tab w:val="left" w:pos="993"/>
        </w:tabs>
        <w:spacing w:after="120"/>
        <w:ind w:left="992" w:hanging="357"/>
        <w:jc w:val="both"/>
        <w:rPr>
          <w:rFonts w:ascii="Calibri" w:eastAsia="Calibri" w:hAnsi="Calibri" w:cs="Calibri"/>
          <w:color w:val="000000"/>
          <w:sz w:val="28"/>
          <w:szCs w:val="28"/>
        </w:rPr>
      </w:pPr>
      <w:r>
        <w:rPr>
          <w:rFonts w:ascii="Calibri" w:eastAsia="Calibri" w:hAnsi="Calibri" w:cs="Calibri"/>
          <w:color w:val="000000"/>
          <w:sz w:val="28"/>
          <w:szCs w:val="28"/>
        </w:rPr>
        <w:t>vlastník nemovité věci, ve které nemá bydliště žádná fyzická osoba.</w:t>
      </w:r>
    </w:p>
    <w:p w14:paraId="00000012" w14:textId="77777777" w:rsidR="00930C73" w:rsidRDefault="00000000">
      <w:pPr>
        <w:numPr>
          <w:ilvl w:val="0"/>
          <w:numId w:val="2"/>
        </w:numPr>
        <w:pBdr>
          <w:top w:val="nil"/>
          <w:left w:val="nil"/>
          <w:bottom w:val="nil"/>
          <w:right w:val="nil"/>
          <w:between w:val="nil"/>
        </w:pBdr>
        <w:tabs>
          <w:tab w:val="left" w:pos="567"/>
        </w:tabs>
        <w:ind w:left="567" w:hanging="567"/>
        <w:jc w:val="both"/>
        <w:rPr>
          <w:rFonts w:ascii="Calibri" w:eastAsia="Calibri" w:hAnsi="Calibri" w:cs="Calibri"/>
          <w:color w:val="000000"/>
          <w:sz w:val="28"/>
          <w:szCs w:val="28"/>
        </w:rPr>
      </w:pPr>
      <w:r>
        <w:rPr>
          <w:rFonts w:ascii="Calibri" w:eastAsia="Calibri" w:hAnsi="Calibri" w:cs="Calibri"/>
          <w:color w:val="000000"/>
          <w:sz w:val="28"/>
          <w:szCs w:val="28"/>
        </w:rPr>
        <w:t>Plátcem poplatku je</w:t>
      </w:r>
      <w:r>
        <w:rPr>
          <w:rFonts w:ascii="Calibri" w:eastAsia="Calibri" w:hAnsi="Calibri" w:cs="Calibri"/>
          <w:color w:val="000000"/>
          <w:sz w:val="28"/>
          <w:szCs w:val="28"/>
          <w:vertAlign w:val="superscript"/>
        </w:rPr>
        <w:footnoteReference w:id="4"/>
      </w:r>
    </w:p>
    <w:p w14:paraId="00000013" w14:textId="77777777" w:rsidR="00930C73" w:rsidRDefault="00000000">
      <w:pPr>
        <w:numPr>
          <w:ilvl w:val="1"/>
          <w:numId w:val="2"/>
        </w:numPr>
        <w:pBdr>
          <w:top w:val="nil"/>
          <w:left w:val="nil"/>
          <w:bottom w:val="nil"/>
          <w:right w:val="nil"/>
          <w:between w:val="nil"/>
        </w:pBdr>
        <w:tabs>
          <w:tab w:val="left" w:pos="993"/>
        </w:tabs>
        <w:ind w:left="993" w:hanging="448"/>
        <w:jc w:val="both"/>
        <w:rPr>
          <w:rFonts w:ascii="Calibri" w:eastAsia="Calibri" w:hAnsi="Calibri" w:cs="Calibri"/>
          <w:color w:val="000000"/>
          <w:sz w:val="28"/>
          <w:szCs w:val="28"/>
        </w:rPr>
      </w:pPr>
      <w:r>
        <w:rPr>
          <w:rFonts w:ascii="Calibri" w:eastAsia="Calibri" w:hAnsi="Calibri" w:cs="Calibri"/>
          <w:color w:val="000000"/>
          <w:sz w:val="28"/>
          <w:szCs w:val="28"/>
        </w:rPr>
        <w:t>společenství vlastníků jednotek, pokud pro dům vzniklo, nebo</w:t>
      </w:r>
    </w:p>
    <w:p w14:paraId="00000014" w14:textId="77777777" w:rsidR="00930C73" w:rsidRDefault="00000000">
      <w:pPr>
        <w:numPr>
          <w:ilvl w:val="1"/>
          <w:numId w:val="2"/>
        </w:numPr>
        <w:pBdr>
          <w:top w:val="nil"/>
          <w:left w:val="nil"/>
          <w:bottom w:val="nil"/>
          <w:right w:val="nil"/>
          <w:between w:val="nil"/>
        </w:pBdr>
        <w:tabs>
          <w:tab w:val="left" w:pos="993"/>
        </w:tabs>
        <w:spacing w:after="120"/>
        <w:ind w:left="992" w:hanging="448"/>
        <w:jc w:val="both"/>
        <w:rPr>
          <w:rFonts w:ascii="Calibri" w:eastAsia="Calibri" w:hAnsi="Calibri" w:cs="Calibri"/>
          <w:color w:val="000000"/>
          <w:sz w:val="28"/>
          <w:szCs w:val="28"/>
        </w:rPr>
      </w:pPr>
      <w:r>
        <w:rPr>
          <w:rFonts w:ascii="Calibri" w:eastAsia="Calibri" w:hAnsi="Calibri" w:cs="Calibri"/>
          <w:color w:val="000000"/>
          <w:sz w:val="28"/>
          <w:szCs w:val="28"/>
        </w:rPr>
        <w:t>vlastník nemovité věci v ostatních případech</w:t>
      </w:r>
    </w:p>
    <w:p w14:paraId="00000015" w14:textId="77777777" w:rsidR="00930C73" w:rsidRDefault="00000000">
      <w:pPr>
        <w:numPr>
          <w:ilvl w:val="0"/>
          <w:numId w:val="2"/>
        </w:numPr>
        <w:pBdr>
          <w:top w:val="nil"/>
          <w:left w:val="nil"/>
          <w:bottom w:val="nil"/>
          <w:right w:val="nil"/>
          <w:between w:val="nil"/>
        </w:pBdr>
        <w:tabs>
          <w:tab w:val="left" w:pos="567"/>
        </w:tabs>
        <w:spacing w:after="120"/>
        <w:ind w:left="567" w:hanging="567"/>
        <w:jc w:val="both"/>
        <w:rPr>
          <w:rFonts w:ascii="Calibri" w:eastAsia="Calibri" w:hAnsi="Calibri" w:cs="Calibri"/>
          <w:color w:val="000000"/>
          <w:sz w:val="28"/>
          <w:szCs w:val="28"/>
        </w:rPr>
      </w:pPr>
      <w:r>
        <w:rPr>
          <w:rFonts w:ascii="Calibri" w:eastAsia="Calibri" w:hAnsi="Calibri" w:cs="Calibri"/>
          <w:color w:val="000000"/>
          <w:sz w:val="28"/>
          <w:szCs w:val="28"/>
        </w:rPr>
        <w:lastRenderedPageBreak/>
        <w:t>Plátce poplatku je povinen vybrat poplatek od poplatníka</w:t>
      </w:r>
      <w:r>
        <w:rPr>
          <w:rFonts w:ascii="Calibri" w:eastAsia="Calibri" w:hAnsi="Calibri" w:cs="Calibri"/>
          <w:color w:val="000000"/>
          <w:sz w:val="28"/>
          <w:szCs w:val="28"/>
          <w:vertAlign w:val="superscript"/>
        </w:rPr>
        <w:footnoteReference w:id="5"/>
      </w:r>
      <w:r>
        <w:rPr>
          <w:rFonts w:ascii="Calibri" w:eastAsia="Calibri" w:hAnsi="Calibri" w:cs="Calibri"/>
          <w:color w:val="000000"/>
          <w:sz w:val="28"/>
          <w:szCs w:val="28"/>
        </w:rPr>
        <w:t>.</w:t>
      </w:r>
    </w:p>
    <w:p w14:paraId="00000016" w14:textId="77777777" w:rsidR="00930C73" w:rsidRDefault="00000000">
      <w:pPr>
        <w:numPr>
          <w:ilvl w:val="0"/>
          <w:numId w:val="2"/>
        </w:numPr>
        <w:pBdr>
          <w:top w:val="nil"/>
          <w:left w:val="nil"/>
          <w:bottom w:val="nil"/>
          <w:right w:val="nil"/>
          <w:between w:val="nil"/>
        </w:pBdr>
        <w:tabs>
          <w:tab w:val="left" w:pos="567"/>
        </w:tabs>
        <w:ind w:left="567" w:hanging="567"/>
        <w:jc w:val="both"/>
        <w:rPr>
          <w:rFonts w:ascii="Calibri" w:eastAsia="Calibri" w:hAnsi="Calibri" w:cs="Calibri"/>
          <w:color w:val="000000"/>
          <w:sz w:val="28"/>
          <w:szCs w:val="28"/>
        </w:rPr>
      </w:pPr>
      <w:r>
        <w:rPr>
          <w:rFonts w:ascii="Calibri" w:eastAsia="Calibri" w:hAnsi="Calibri" w:cs="Calibri"/>
          <w:color w:val="000000"/>
          <w:sz w:val="28"/>
          <w:szCs w:val="28"/>
        </w:rPr>
        <w:t>Spoluvlastníci nemovité věci jsou povinni plnit poplatkovou povinnost společně a nerozdílně</w:t>
      </w:r>
      <w:r>
        <w:rPr>
          <w:rFonts w:ascii="Calibri" w:eastAsia="Calibri" w:hAnsi="Calibri" w:cs="Calibri"/>
          <w:color w:val="000000"/>
          <w:sz w:val="28"/>
          <w:szCs w:val="28"/>
          <w:vertAlign w:val="superscript"/>
        </w:rPr>
        <w:footnoteReference w:id="6"/>
      </w:r>
      <w:r>
        <w:rPr>
          <w:rFonts w:ascii="Calibri" w:eastAsia="Calibri" w:hAnsi="Calibri" w:cs="Calibri"/>
          <w:color w:val="000000"/>
          <w:sz w:val="28"/>
          <w:szCs w:val="28"/>
        </w:rPr>
        <w:t>.</w:t>
      </w:r>
    </w:p>
    <w:p w14:paraId="00000017" w14:textId="77777777" w:rsidR="00930C73" w:rsidRDefault="00000000">
      <w:pPr>
        <w:keepNext/>
        <w:keepLines/>
        <w:pBdr>
          <w:top w:val="nil"/>
          <w:left w:val="nil"/>
          <w:bottom w:val="nil"/>
          <w:right w:val="nil"/>
          <w:between w:val="nil"/>
        </w:pBdr>
        <w:spacing w:before="240"/>
        <w:jc w:val="center"/>
        <w:rPr>
          <w:rFonts w:ascii="Calibri" w:eastAsia="Calibri" w:hAnsi="Calibri" w:cs="Calibri"/>
          <w:b/>
          <w:color w:val="000000"/>
          <w:sz w:val="28"/>
          <w:szCs w:val="28"/>
        </w:rPr>
      </w:pPr>
      <w:r>
        <w:rPr>
          <w:rFonts w:ascii="Calibri" w:eastAsia="Calibri" w:hAnsi="Calibri" w:cs="Calibri"/>
          <w:b/>
          <w:color w:val="000000"/>
          <w:sz w:val="28"/>
          <w:szCs w:val="28"/>
        </w:rPr>
        <w:t>Čl. 3</w:t>
      </w:r>
    </w:p>
    <w:p w14:paraId="00000018"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Poplatkové období</w:t>
      </w:r>
    </w:p>
    <w:p w14:paraId="00000019" w14:textId="77777777" w:rsidR="00930C73" w:rsidRDefault="00000000">
      <w:pPr>
        <w:ind w:firstLine="567"/>
        <w:jc w:val="both"/>
        <w:rPr>
          <w:rFonts w:ascii="Calibri" w:eastAsia="Calibri" w:hAnsi="Calibri" w:cs="Calibri"/>
          <w:sz w:val="28"/>
          <w:szCs w:val="28"/>
        </w:rPr>
      </w:pPr>
      <w:r>
        <w:rPr>
          <w:rFonts w:ascii="Calibri" w:eastAsia="Calibri" w:hAnsi="Calibri" w:cs="Calibri"/>
          <w:sz w:val="28"/>
          <w:szCs w:val="28"/>
        </w:rPr>
        <w:t>Poplatkovým obdobím poplatku je kalendářní rok a dílčím poplatkovým obdobím poplatku je kalendářní měsíc</w:t>
      </w:r>
      <w:r>
        <w:rPr>
          <w:rFonts w:ascii="Calibri" w:eastAsia="Calibri" w:hAnsi="Calibri" w:cs="Calibri"/>
          <w:sz w:val="28"/>
          <w:szCs w:val="28"/>
          <w:vertAlign w:val="superscript"/>
        </w:rPr>
        <w:footnoteReference w:id="7"/>
      </w:r>
      <w:r>
        <w:rPr>
          <w:rFonts w:ascii="Calibri" w:eastAsia="Calibri" w:hAnsi="Calibri" w:cs="Calibri"/>
          <w:sz w:val="28"/>
          <w:szCs w:val="28"/>
        </w:rPr>
        <w:t>.</w:t>
      </w:r>
    </w:p>
    <w:p w14:paraId="0000001A" w14:textId="77777777" w:rsidR="00930C73" w:rsidRDefault="00000000">
      <w:pPr>
        <w:keepNext/>
        <w:keepLines/>
        <w:pBdr>
          <w:top w:val="nil"/>
          <w:left w:val="nil"/>
          <w:bottom w:val="nil"/>
          <w:right w:val="nil"/>
          <w:between w:val="nil"/>
        </w:pBdr>
        <w:spacing w:before="240"/>
        <w:jc w:val="center"/>
        <w:rPr>
          <w:rFonts w:ascii="Calibri" w:eastAsia="Calibri" w:hAnsi="Calibri" w:cs="Calibri"/>
          <w:b/>
          <w:color w:val="000000"/>
          <w:sz w:val="28"/>
          <w:szCs w:val="28"/>
        </w:rPr>
      </w:pPr>
      <w:r>
        <w:rPr>
          <w:rFonts w:ascii="Calibri" w:eastAsia="Calibri" w:hAnsi="Calibri" w:cs="Calibri"/>
          <w:b/>
          <w:color w:val="000000"/>
          <w:sz w:val="28"/>
          <w:szCs w:val="28"/>
        </w:rPr>
        <w:t>Čl. 4</w:t>
      </w:r>
    </w:p>
    <w:p w14:paraId="0000001B"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Ohlašovací povinnost</w:t>
      </w:r>
    </w:p>
    <w:p w14:paraId="0000001C" w14:textId="77777777" w:rsidR="00930C73" w:rsidRDefault="00000000">
      <w:pPr>
        <w:numPr>
          <w:ilvl w:val="0"/>
          <w:numId w:val="3"/>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Plátce poplatku je povinen podat správci poplatku ohlášení poplatkové povinnosti nejpozději do 15 dnů ode dne, kdy nabyl postavení plátce poplatku. Pozbytí postavení plátce ohlásí plátce poplatku správci poplatku ve lhůtě 15 dnů.</w:t>
      </w:r>
    </w:p>
    <w:p w14:paraId="0000001D" w14:textId="77777777" w:rsidR="00930C73" w:rsidRDefault="00000000">
      <w:pPr>
        <w:numPr>
          <w:ilvl w:val="0"/>
          <w:numId w:val="3"/>
        </w:num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V ohlášení plátce poplatku uvede</w:t>
      </w:r>
      <w:r>
        <w:rPr>
          <w:rFonts w:ascii="Calibri" w:eastAsia="Calibri" w:hAnsi="Calibri" w:cs="Calibri"/>
          <w:color w:val="000000"/>
          <w:sz w:val="28"/>
          <w:szCs w:val="28"/>
          <w:vertAlign w:val="superscript"/>
        </w:rPr>
        <w:footnoteReference w:id="8"/>
      </w:r>
    </w:p>
    <w:p w14:paraId="0000001E" w14:textId="77777777" w:rsidR="00930C73" w:rsidRDefault="00000000">
      <w:pPr>
        <w:numPr>
          <w:ilvl w:val="1"/>
          <w:numId w:val="3"/>
        </w:num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000001F" w14:textId="77777777" w:rsidR="00930C73" w:rsidRDefault="00000000">
      <w:pPr>
        <w:numPr>
          <w:ilvl w:val="1"/>
          <w:numId w:val="3"/>
        </w:num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00000020" w14:textId="77777777" w:rsidR="00930C73" w:rsidRDefault="00000000">
      <w:pPr>
        <w:numPr>
          <w:ilvl w:val="1"/>
          <w:numId w:val="3"/>
        </w:num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sz w:val="28"/>
          <w:szCs w:val="28"/>
        </w:rPr>
        <w:t xml:space="preserve">další údaje rozhodné pro stanovení poplatku, zejména </w:t>
      </w:r>
      <w:r>
        <w:rPr>
          <w:rFonts w:ascii="Calibri" w:eastAsia="Calibri" w:hAnsi="Calibri" w:cs="Calibri"/>
          <w:color w:val="000000"/>
          <w:sz w:val="28"/>
          <w:szCs w:val="28"/>
        </w:rPr>
        <w:t>identifikační údaje nemovité věci zahr</w:t>
      </w:r>
      <w:r>
        <w:rPr>
          <w:rFonts w:ascii="Calibri" w:eastAsia="Calibri" w:hAnsi="Calibri" w:cs="Calibri"/>
          <w:sz w:val="28"/>
          <w:szCs w:val="28"/>
        </w:rPr>
        <w:t>nující byt, rodinný dům nebo stavbu pro rodinnou rekreaci</w:t>
      </w:r>
      <w:r>
        <w:rPr>
          <w:rFonts w:ascii="Calibri" w:eastAsia="Calibri" w:hAnsi="Calibri" w:cs="Calibri"/>
          <w:color w:val="000000"/>
          <w:sz w:val="28"/>
          <w:szCs w:val="28"/>
        </w:rPr>
        <w:t xml:space="preserve"> podle katastru nemovitostí</w:t>
      </w:r>
      <w:r>
        <w:rPr>
          <w:rFonts w:ascii="Calibri" w:eastAsia="Calibri" w:hAnsi="Calibri" w:cs="Calibri"/>
          <w:sz w:val="28"/>
          <w:szCs w:val="28"/>
        </w:rPr>
        <w:t>.</w:t>
      </w:r>
    </w:p>
    <w:p w14:paraId="00000021" w14:textId="77777777" w:rsidR="00930C73" w:rsidRDefault="00000000">
      <w:pPr>
        <w:numPr>
          <w:ilvl w:val="0"/>
          <w:numId w:val="3"/>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Fonts w:ascii="Calibri" w:eastAsia="Calibri" w:hAnsi="Calibri" w:cs="Calibri"/>
          <w:color w:val="000000"/>
          <w:sz w:val="28"/>
          <w:szCs w:val="28"/>
          <w:vertAlign w:val="superscript"/>
        </w:rPr>
        <w:footnoteReference w:id="9"/>
      </w:r>
      <w:r>
        <w:rPr>
          <w:rFonts w:ascii="Calibri" w:eastAsia="Calibri" w:hAnsi="Calibri" w:cs="Calibri"/>
          <w:color w:val="000000"/>
          <w:sz w:val="28"/>
          <w:szCs w:val="28"/>
        </w:rPr>
        <w:t>.</w:t>
      </w:r>
    </w:p>
    <w:p w14:paraId="00000022" w14:textId="77777777" w:rsidR="00930C73" w:rsidRDefault="00000000">
      <w:pPr>
        <w:numPr>
          <w:ilvl w:val="0"/>
          <w:numId w:val="3"/>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Dojde-li ke změně údajů uvedených v ohlášení, je plátce povinen tuto změnu oznámit do 15 dnů ode dne, kdy nastala</w:t>
      </w:r>
      <w:r>
        <w:rPr>
          <w:rFonts w:ascii="Calibri" w:eastAsia="Calibri" w:hAnsi="Calibri" w:cs="Calibri"/>
          <w:color w:val="000000"/>
          <w:sz w:val="28"/>
          <w:szCs w:val="28"/>
          <w:vertAlign w:val="superscript"/>
        </w:rPr>
        <w:footnoteReference w:id="10"/>
      </w:r>
      <w:r>
        <w:rPr>
          <w:rFonts w:ascii="Calibri" w:eastAsia="Calibri" w:hAnsi="Calibri" w:cs="Calibri"/>
          <w:color w:val="000000"/>
          <w:sz w:val="28"/>
          <w:szCs w:val="28"/>
        </w:rPr>
        <w:t>.</w:t>
      </w:r>
    </w:p>
    <w:p w14:paraId="00000023" w14:textId="77777777" w:rsidR="00930C73" w:rsidRDefault="00000000">
      <w:pPr>
        <w:numPr>
          <w:ilvl w:val="0"/>
          <w:numId w:val="3"/>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lastRenderedPageBreak/>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Fonts w:ascii="Calibri" w:eastAsia="Calibri" w:hAnsi="Calibri" w:cs="Calibri"/>
          <w:color w:val="000000"/>
          <w:sz w:val="28"/>
          <w:szCs w:val="28"/>
          <w:vertAlign w:val="superscript"/>
        </w:rPr>
        <w:footnoteReference w:id="11"/>
      </w:r>
      <w:r>
        <w:rPr>
          <w:rFonts w:ascii="Calibri" w:eastAsia="Calibri" w:hAnsi="Calibri" w:cs="Calibri"/>
          <w:color w:val="000000"/>
          <w:sz w:val="28"/>
          <w:szCs w:val="28"/>
        </w:rPr>
        <w:t>.</w:t>
      </w:r>
    </w:p>
    <w:p w14:paraId="00000024" w14:textId="77777777" w:rsidR="00930C73" w:rsidRDefault="00000000">
      <w:pPr>
        <w:numPr>
          <w:ilvl w:val="0"/>
          <w:numId w:val="3"/>
        </w:num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Není-li plátce, plní ohlašovací povinnost poplatník</w:t>
      </w:r>
      <w:r>
        <w:rPr>
          <w:rFonts w:ascii="Calibri" w:eastAsia="Calibri" w:hAnsi="Calibri" w:cs="Calibri"/>
          <w:color w:val="000000"/>
          <w:sz w:val="28"/>
          <w:szCs w:val="28"/>
          <w:vertAlign w:val="superscript"/>
        </w:rPr>
        <w:footnoteReference w:id="12"/>
      </w:r>
      <w:r>
        <w:rPr>
          <w:rFonts w:ascii="Calibri" w:eastAsia="Calibri" w:hAnsi="Calibri" w:cs="Calibri"/>
          <w:color w:val="000000"/>
          <w:sz w:val="28"/>
          <w:szCs w:val="28"/>
        </w:rPr>
        <w:t>.</w:t>
      </w:r>
    </w:p>
    <w:p w14:paraId="00000025" w14:textId="77777777" w:rsidR="00930C73" w:rsidRDefault="00000000">
      <w:pPr>
        <w:keepNext/>
        <w:keepLines/>
        <w:pBdr>
          <w:top w:val="nil"/>
          <w:left w:val="nil"/>
          <w:bottom w:val="nil"/>
          <w:right w:val="nil"/>
          <w:between w:val="nil"/>
        </w:pBdr>
        <w:spacing w:before="240"/>
        <w:jc w:val="center"/>
        <w:rPr>
          <w:rFonts w:ascii="Calibri" w:eastAsia="Calibri" w:hAnsi="Calibri" w:cs="Calibri"/>
          <w:b/>
          <w:color w:val="000000"/>
          <w:sz w:val="28"/>
          <w:szCs w:val="28"/>
        </w:rPr>
      </w:pPr>
      <w:r>
        <w:rPr>
          <w:rFonts w:ascii="Calibri" w:eastAsia="Calibri" w:hAnsi="Calibri" w:cs="Calibri"/>
          <w:b/>
          <w:color w:val="000000"/>
          <w:sz w:val="28"/>
          <w:szCs w:val="28"/>
        </w:rPr>
        <w:t>Čl. 5</w:t>
      </w:r>
    </w:p>
    <w:p w14:paraId="00000026"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Základ poplatku</w:t>
      </w:r>
      <w:r>
        <w:rPr>
          <w:rFonts w:ascii="Calibri" w:eastAsia="Calibri" w:hAnsi="Calibri" w:cs="Calibri"/>
          <w:b/>
          <w:color w:val="000000"/>
          <w:sz w:val="28"/>
          <w:szCs w:val="28"/>
          <w:vertAlign w:val="superscript"/>
        </w:rPr>
        <w:footnoteReference w:id="13"/>
      </w:r>
    </w:p>
    <w:p w14:paraId="00000027" w14:textId="77777777" w:rsidR="00930C73" w:rsidRDefault="00000000">
      <w:pPr>
        <w:numPr>
          <w:ilvl w:val="0"/>
          <w:numId w:val="4"/>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Základem dílčího poplatku za odkládání komunálního odpadu z nemovité věci za dílčí období je kapacita soustřeďovacích prostředků pro nemovitou věc na směsný komunální odpad za toto dílčí období v litrech připadající na poplatníka.</w:t>
      </w:r>
    </w:p>
    <w:p w14:paraId="00000028" w14:textId="77777777" w:rsidR="00930C73" w:rsidRDefault="00000000">
      <w:pPr>
        <w:numPr>
          <w:ilvl w:val="0"/>
          <w:numId w:val="4"/>
        </w:num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Objednanou kapacitou soustřeďovacích prostředků pro nemovitou věc na dílčí období připadající na poplatníka je</w:t>
      </w:r>
    </w:p>
    <w:p w14:paraId="00000029" w14:textId="77777777" w:rsidR="00930C73" w:rsidRDefault="00000000">
      <w:pPr>
        <w:numPr>
          <w:ilvl w:val="1"/>
          <w:numId w:val="4"/>
        </w:num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podíl objednané kapacity soustřeďovacích prostředků pro tuto nemovitou věc na dílčí období a počtu fyzických osob, které v této nemovité věci mají bydliště na konci dílčího období, nebo</w:t>
      </w:r>
    </w:p>
    <w:p w14:paraId="0000002A" w14:textId="77777777" w:rsidR="00930C73" w:rsidRDefault="00000000">
      <w:pPr>
        <w:numPr>
          <w:ilvl w:val="1"/>
          <w:numId w:val="4"/>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kapacita soustřeďovacích prostředků pro tuto nemovitou věc na dílčí období v případě, že v nemovité věci nemá bydliště žádná fyzická osoba.</w:t>
      </w:r>
    </w:p>
    <w:p w14:paraId="0000002B" w14:textId="77777777" w:rsidR="00930C73" w:rsidRDefault="00000000">
      <w:pPr>
        <w:numPr>
          <w:ilvl w:val="0"/>
          <w:numId w:val="4"/>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 xml:space="preserve">Minimální základ dílčího poplatku na poplatníka činí 60 l. </w:t>
      </w:r>
    </w:p>
    <w:p w14:paraId="0000002C" w14:textId="77777777" w:rsidR="00930C73" w:rsidRDefault="00000000">
      <w:pPr>
        <w:keepNext/>
        <w:keepLines/>
        <w:pBdr>
          <w:top w:val="nil"/>
          <w:left w:val="nil"/>
          <w:bottom w:val="nil"/>
          <w:right w:val="nil"/>
          <w:between w:val="nil"/>
        </w:pBdr>
        <w:spacing w:before="240"/>
        <w:jc w:val="center"/>
        <w:rPr>
          <w:rFonts w:ascii="Calibri" w:eastAsia="Calibri" w:hAnsi="Calibri" w:cs="Calibri"/>
          <w:b/>
          <w:color w:val="000000"/>
          <w:sz w:val="28"/>
          <w:szCs w:val="28"/>
        </w:rPr>
      </w:pPr>
      <w:r>
        <w:rPr>
          <w:rFonts w:ascii="Calibri" w:eastAsia="Calibri" w:hAnsi="Calibri" w:cs="Calibri"/>
          <w:b/>
          <w:color w:val="000000"/>
          <w:sz w:val="28"/>
          <w:szCs w:val="28"/>
        </w:rPr>
        <w:t>Čl. 6</w:t>
      </w:r>
    </w:p>
    <w:p w14:paraId="0000002D"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Sazba poplatku</w:t>
      </w:r>
    </w:p>
    <w:p w14:paraId="0000002E" w14:textId="77777777" w:rsidR="00930C73" w:rsidRDefault="00000000">
      <w:pPr>
        <w:ind w:firstLine="567"/>
        <w:jc w:val="both"/>
        <w:rPr>
          <w:rFonts w:ascii="Calibri" w:eastAsia="Calibri" w:hAnsi="Calibri" w:cs="Calibri"/>
          <w:sz w:val="28"/>
          <w:szCs w:val="28"/>
        </w:rPr>
      </w:pPr>
      <w:r>
        <w:rPr>
          <w:rFonts w:ascii="Calibri" w:eastAsia="Calibri" w:hAnsi="Calibri" w:cs="Calibri"/>
          <w:sz w:val="28"/>
          <w:szCs w:val="28"/>
        </w:rPr>
        <w:t>Sazba poplatku činí 0,80 Kč/l.</w:t>
      </w:r>
    </w:p>
    <w:p w14:paraId="0000002F" w14:textId="77777777" w:rsidR="00930C73" w:rsidRDefault="00000000">
      <w:pPr>
        <w:keepNext/>
        <w:keepLines/>
        <w:pBdr>
          <w:top w:val="nil"/>
          <w:left w:val="nil"/>
          <w:bottom w:val="nil"/>
          <w:right w:val="nil"/>
          <w:between w:val="nil"/>
        </w:pBdr>
        <w:spacing w:before="240"/>
        <w:jc w:val="center"/>
        <w:rPr>
          <w:rFonts w:ascii="Calibri" w:eastAsia="Calibri" w:hAnsi="Calibri" w:cs="Calibri"/>
          <w:b/>
          <w:color w:val="000000"/>
          <w:sz w:val="28"/>
          <w:szCs w:val="28"/>
        </w:rPr>
      </w:pPr>
      <w:r>
        <w:rPr>
          <w:rFonts w:ascii="Calibri" w:eastAsia="Calibri" w:hAnsi="Calibri" w:cs="Calibri"/>
          <w:b/>
          <w:color w:val="000000"/>
          <w:sz w:val="28"/>
          <w:szCs w:val="28"/>
        </w:rPr>
        <w:t>Čl. 7</w:t>
      </w:r>
    </w:p>
    <w:p w14:paraId="00000030"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Výpočet poplatku</w:t>
      </w:r>
      <w:r>
        <w:rPr>
          <w:rFonts w:ascii="Calibri" w:eastAsia="Calibri" w:hAnsi="Calibri" w:cs="Calibri"/>
          <w:b/>
          <w:color w:val="000000"/>
          <w:sz w:val="28"/>
          <w:szCs w:val="28"/>
          <w:vertAlign w:val="superscript"/>
        </w:rPr>
        <w:footnoteReference w:id="14"/>
      </w:r>
    </w:p>
    <w:p w14:paraId="00000031" w14:textId="77777777" w:rsidR="00930C73" w:rsidRDefault="00000000">
      <w:pPr>
        <w:numPr>
          <w:ilvl w:val="0"/>
          <w:numId w:val="5"/>
        </w:num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Poplatek za odkládání komunálního odpadu z nemovité věci se vypočte jako součet dílčích poplatků za jednotlivá dílčí období, na jejichž konci</w:t>
      </w:r>
    </w:p>
    <w:p w14:paraId="00000032" w14:textId="77777777" w:rsidR="00930C73" w:rsidRDefault="00000000">
      <w:pPr>
        <w:numPr>
          <w:ilvl w:val="1"/>
          <w:numId w:val="5"/>
        </w:num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měl poplatník v nemovité věci bydliště, nebo</w:t>
      </w:r>
    </w:p>
    <w:p w14:paraId="00000033" w14:textId="77777777" w:rsidR="00930C73" w:rsidRDefault="00000000">
      <w:pPr>
        <w:numPr>
          <w:ilvl w:val="1"/>
          <w:numId w:val="5"/>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neměla v nemovité věci bydliště žádná fyzická osoba v případě, že poplatníkem je vlastník této nemovité věci.</w:t>
      </w:r>
    </w:p>
    <w:p w14:paraId="00000034" w14:textId="77777777" w:rsidR="00930C73" w:rsidRDefault="00000000">
      <w:pPr>
        <w:numPr>
          <w:ilvl w:val="0"/>
          <w:numId w:val="5"/>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lastRenderedPageBreak/>
        <w:t>Dílčí poplatek za dílčí období se vypočte jako součin základu dílčího poplatku zaokrouhleného na celé litry nahoru a sazby pro tento základ.</w:t>
      </w:r>
    </w:p>
    <w:p w14:paraId="00000035" w14:textId="77777777" w:rsidR="00930C73" w:rsidRDefault="00000000">
      <w:pPr>
        <w:keepNext/>
        <w:keepLines/>
        <w:pBdr>
          <w:top w:val="nil"/>
          <w:left w:val="nil"/>
          <w:bottom w:val="nil"/>
          <w:right w:val="nil"/>
          <w:between w:val="nil"/>
        </w:pBdr>
        <w:spacing w:before="240"/>
        <w:jc w:val="center"/>
        <w:rPr>
          <w:rFonts w:ascii="Calibri" w:eastAsia="Calibri" w:hAnsi="Calibri" w:cs="Calibri"/>
          <w:b/>
          <w:color w:val="000000"/>
          <w:sz w:val="28"/>
          <w:szCs w:val="28"/>
        </w:rPr>
      </w:pPr>
      <w:r>
        <w:rPr>
          <w:rFonts w:ascii="Calibri" w:eastAsia="Calibri" w:hAnsi="Calibri" w:cs="Calibri"/>
          <w:b/>
          <w:color w:val="000000"/>
          <w:sz w:val="28"/>
          <w:szCs w:val="28"/>
        </w:rPr>
        <w:t>Čl. 8</w:t>
      </w:r>
    </w:p>
    <w:p w14:paraId="00000036"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Splatnost poplatku</w:t>
      </w:r>
    </w:p>
    <w:p w14:paraId="00000037" w14:textId="77777777" w:rsidR="00930C73" w:rsidRDefault="00000000">
      <w:pPr>
        <w:numPr>
          <w:ilvl w:val="0"/>
          <w:numId w:val="6"/>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Plátce poplatku odvede vybraný poplatek správci poplatku nejpozději do 31. 1.  příslušného kalendářního roku.</w:t>
      </w:r>
    </w:p>
    <w:p w14:paraId="00000038" w14:textId="77777777" w:rsidR="00930C73" w:rsidRDefault="00000000">
      <w:pPr>
        <w:numPr>
          <w:ilvl w:val="0"/>
          <w:numId w:val="6"/>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Plátce poplatku, který nabyl postavení plátce poplatku po 15. 1.  příslušného kalendářního roku, odvede vybraný poplatek nejpozději do 15 dnů ode dne, kdy poplatník nabyl postavení plátce poplatku.</w:t>
      </w:r>
    </w:p>
    <w:p w14:paraId="00000039" w14:textId="77777777" w:rsidR="00930C73" w:rsidRDefault="00000000">
      <w:pPr>
        <w:numPr>
          <w:ilvl w:val="0"/>
          <w:numId w:val="6"/>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 xml:space="preserve">Lhůta pro odvedení poplatku </w:t>
      </w:r>
      <w:proofErr w:type="gramStart"/>
      <w:r>
        <w:rPr>
          <w:rFonts w:ascii="Calibri" w:eastAsia="Calibri" w:hAnsi="Calibri" w:cs="Calibri"/>
          <w:color w:val="000000"/>
          <w:sz w:val="28"/>
          <w:szCs w:val="28"/>
        </w:rPr>
        <w:t>neskončí</w:t>
      </w:r>
      <w:proofErr w:type="gramEnd"/>
      <w:r>
        <w:rPr>
          <w:rFonts w:ascii="Calibri" w:eastAsia="Calibri" w:hAnsi="Calibri" w:cs="Calibri"/>
          <w:color w:val="000000"/>
          <w:sz w:val="28"/>
          <w:szCs w:val="28"/>
        </w:rPr>
        <w:t xml:space="preserve"> plátci poplatku dříve než lhůta pro podání ohlášení podle čl. 4 odst. 1 této vyhlášky.</w:t>
      </w:r>
    </w:p>
    <w:p w14:paraId="0000003A" w14:textId="77777777" w:rsidR="00930C73" w:rsidRDefault="00000000">
      <w:pPr>
        <w:numPr>
          <w:ilvl w:val="0"/>
          <w:numId w:val="6"/>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Není-li plátce poplatku, zaplatí poplatek ve lhůtě podle tohoto článku poplatník</w:t>
      </w:r>
      <w:r>
        <w:rPr>
          <w:rFonts w:ascii="Calibri" w:eastAsia="Calibri" w:hAnsi="Calibri" w:cs="Calibri"/>
          <w:color w:val="000000"/>
          <w:sz w:val="28"/>
          <w:szCs w:val="28"/>
          <w:vertAlign w:val="superscript"/>
        </w:rPr>
        <w:t>12</w:t>
      </w:r>
      <w:r>
        <w:rPr>
          <w:rFonts w:ascii="Calibri" w:eastAsia="Calibri" w:hAnsi="Calibri" w:cs="Calibri"/>
          <w:color w:val="000000"/>
          <w:sz w:val="28"/>
          <w:szCs w:val="28"/>
        </w:rPr>
        <w:t>.</w:t>
      </w:r>
    </w:p>
    <w:p w14:paraId="0000003B" w14:textId="77777777" w:rsidR="00930C73" w:rsidRDefault="00000000">
      <w:pPr>
        <w:keepNext/>
        <w:keepLines/>
        <w:pBdr>
          <w:top w:val="nil"/>
          <w:left w:val="nil"/>
          <w:bottom w:val="nil"/>
          <w:right w:val="nil"/>
          <w:between w:val="nil"/>
        </w:pBdr>
        <w:spacing w:before="240"/>
        <w:jc w:val="center"/>
        <w:rPr>
          <w:rFonts w:ascii="Calibri" w:eastAsia="Calibri" w:hAnsi="Calibri" w:cs="Calibri"/>
          <w:b/>
          <w:color w:val="000000"/>
          <w:sz w:val="28"/>
          <w:szCs w:val="28"/>
        </w:rPr>
      </w:pPr>
      <w:r>
        <w:rPr>
          <w:rFonts w:ascii="Calibri" w:eastAsia="Calibri" w:hAnsi="Calibri" w:cs="Calibri"/>
          <w:b/>
          <w:color w:val="000000"/>
          <w:sz w:val="28"/>
          <w:szCs w:val="28"/>
        </w:rPr>
        <w:t>Čl. 9</w:t>
      </w:r>
    </w:p>
    <w:p w14:paraId="0000003C"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Navýšení poplatku</w:t>
      </w:r>
    </w:p>
    <w:p w14:paraId="0000003D" w14:textId="77777777" w:rsidR="00930C73" w:rsidRDefault="00000000">
      <w:pPr>
        <w:numPr>
          <w:ilvl w:val="0"/>
          <w:numId w:val="7"/>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 xml:space="preserve">Nebudou-li poplatky zaplaceny poplatníkem včas nebo ve správné výši, </w:t>
      </w:r>
      <w:proofErr w:type="gramStart"/>
      <w:r>
        <w:rPr>
          <w:rFonts w:ascii="Calibri" w:eastAsia="Calibri" w:hAnsi="Calibri" w:cs="Calibri"/>
          <w:color w:val="000000"/>
          <w:sz w:val="28"/>
          <w:szCs w:val="28"/>
        </w:rPr>
        <w:t>vyměří</w:t>
      </w:r>
      <w:proofErr w:type="gramEnd"/>
      <w:r>
        <w:rPr>
          <w:rFonts w:ascii="Calibri" w:eastAsia="Calibri" w:hAnsi="Calibri" w:cs="Calibri"/>
          <w:color w:val="000000"/>
          <w:sz w:val="28"/>
          <w:szCs w:val="28"/>
        </w:rPr>
        <w:t xml:space="preserve"> mu správce poplatku poplatek platebním výměrem nebo hromadným předpisným seznamem</w:t>
      </w:r>
      <w:r>
        <w:rPr>
          <w:rFonts w:ascii="Calibri" w:eastAsia="Calibri" w:hAnsi="Calibri" w:cs="Calibri"/>
          <w:color w:val="000000"/>
          <w:sz w:val="28"/>
          <w:szCs w:val="28"/>
          <w:vertAlign w:val="superscript"/>
        </w:rPr>
        <w:footnoteReference w:id="15"/>
      </w:r>
      <w:r>
        <w:rPr>
          <w:rFonts w:ascii="Calibri" w:eastAsia="Calibri" w:hAnsi="Calibri" w:cs="Calibri"/>
          <w:color w:val="000000"/>
          <w:sz w:val="28"/>
          <w:szCs w:val="28"/>
        </w:rPr>
        <w:t>.</w:t>
      </w:r>
    </w:p>
    <w:p w14:paraId="0000003E" w14:textId="77777777" w:rsidR="00930C73" w:rsidRDefault="00000000">
      <w:pPr>
        <w:numPr>
          <w:ilvl w:val="0"/>
          <w:numId w:val="7"/>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 xml:space="preserve">Nebudou-li poplatky odvedeny plátcem poplatku včas nebo ve správné výši, </w:t>
      </w:r>
      <w:proofErr w:type="gramStart"/>
      <w:r>
        <w:rPr>
          <w:rFonts w:ascii="Calibri" w:eastAsia="Calibri" w:hAnsi="Calibri" w:cs="Calibri"/>
          <w:color w:val="000000"/>
          <w:sz w:val="28"/>
          <w:szCs w:val="28"/>
        </w:rPr>
        <w:t>vyměří</w:t>
      </w:r>
      <w:proofErr w:type="gramEnd"/>
      <w:r>
        <w:rPr>
          <w:rFonts w:ascii="Calibri" w:eastAsia="Calibri" w:hAnsi="Calibri" w:cs="Calibri"/>
          <w:color w:val="000000"/>
          <w:sz w:val="28"/>
          <w:szCs w:val="28"/>
        </w:rPr>
        <w:t xml:space="preserve"> mu správce poplatku poplatek platebním výměrem k přímé úhradě</w:t>
      </w:r>
      <w:r>
        <w:rPr>
          <w:rFonts w:ascii="Calibri" w:eastAsia="Calibri" w:hAnsi="Calibri" w:cs="Calibri"/>
          <w:color w:val="000000"/>
          <w:sz w:val="28"/>
          <w:szCs w:val="28"/>
          <w:vertAlign w:val="superscript"/>
        </w:rPr>
        <w:footnoteReference w:id="16"/>
      </w:r>
      <w:r>
        <w:rPr>
          <w:rFonts w:ascii="Calibri" w:eastAsia="Calibri" w:hAnsi="Calibri" w:cs="Calibri"/>
          <w:color w:val="000000"/>
          <w:sz w:val="28"/>
          <w:szCs w:val="28"/>
        </w:rPr>
        <w:t>.</w:t>
      </w:r>
    </w:p>
    <w:p w14:paraId="0000003F" w14:textId="77777777" w:rsidR="00930C73" w:rsidRDefault="00000000">
      <w:pPr>
        <w:numPr>
          <w:ilvl w:val="0"/>
          <w:numId w:val="7"/>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Včas neodvedené poplatky nebo část těchto poplatků může správce poplatku zvýšit až na trojnásobek; toto zvýšení je příslušenstvím poplatku sledujícím jeho osud</w:t>
      </w:r>
      <w:r>
        <w:rPr>
          <w:rFonts w:ascii="Calibri" w:eastAsia="Calibri" w:hAnsi="Calibri" w:cs="Calibri"/>
          <w:color w:val="000000"/>
          <w:sz w:val="28"/>
          <w:szCs w:val="28"/>
          <w:vertAlign w:val="superscript"/>
        </w:rPr>
        <w:footnoteReference w:id="17"/>
      </w:r>
      <w:r>
        <w:rPr>
          <w:rFonts w:ascii="Calibri" w:eastAsia="Calibri" w:hAnsi="Calibri" w:cs="Calibri"/>
          <w:color w:val="000000"/>
          <w:sz w:val="28"/>
          <w:szCs w:val="28"/>
        </w:rPr>
        <w:t>.</w:t>
      </w:r>
    </w:p>
    <w:p w14:paraId="00000040" w14:textId="77777777" w:rsidR="00930C73" w:rsidRDefault="00000000">
      <w:pPr>
        <w:keepNext/>
        <w:keepLines/>
        <w:pBdr>
          <w:top w:val="nil"/>
          <w:left w:val="nil"/>
          <w:bottom w:val="nil"/>
          <w:right w:val="nil"/>
          <w:between w:val="nil"/>
        </w:pBdr>
        <w:spacing w:before="240"/>
        <w:jc w:val="center"/>
        <w:rPr>
          <w:rFonts w:ascii="Calibri" w:eastAsia="Calibri" w:hAnsi="Calibri" w:cs="Calibri"/>
          <w:b/>
          <w:color w:val="000000"/>
          <w:sz w:val="28"/>
          <w:szCs w:val="28"/>
        </w:rPr>
      </w:pPr>
      <w:r>
        <w:rPr>
          <w:rFonts w:ascii="Calibri" w:eastAsia="Calibri" w:hAnsi="Calibri" w:cs="Calibri"/>
          <w:b/>
          <w:color w:val="000000"/>
          <w:sz w:val="28"/>
          <w:szCs w:val="28"/>
        </w:rPr>
        <w:t>Čl. 10</w:t>
      </w:r>
    </w:p>
    <w:p w14:paraId="00000041"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Společná ustanovení</w:t>
      </w:r>
    </w:p>
    <w:p w14:paraId="00000042" w14:textId="77777777" w:rsidR="00930C73" w:rsidRDefault="00000000">
      <w:pPr>
        <w:numPr>
          <w:ilvl w:val="0"/>
          <w:numId w:val="8"/>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Calibri" w:eastAsia="Calibri" w:hAnsi="Calibri" w:cs="Calibri"/>
          <w:color w:val="000000"/>
          <w:sz w:val="28"/>
          <w:szCs w:val="28"/>
          <w:vertAlign w:val="superscript"/>
        </w:rPr>
        <w:footnoteReference w:id="18"/>
      </w:r>
      <w:r>
        <w:rPr>
          <w:rFonts w:ascii="Calibri" w:eastAsia="Calibri" w:hAnsi="Calibri" w:cs="Calibri"/>
          <w:color w:val="000000"/>
          <w:sz w:val="28"/>
          <w:szCs w:val="28"/>
        </w:rPr>
        <w:t>.</w:t>
      </w:r>
    </w:p>
    <w:p w14:paraId="00000043" w14:textId="77777777" w:rsidR="00930C73" w:rsidRDefault="00000000">
      <w:pPr>
        <w:numPr>
          <w:ilvl w:val="0"/>
          <w:numId w:val="8"/>
        </w:numPr>
        <w:pBdr>
          <w:top w:val="nil"/>
          <w:left w:val="nil"/>
          <w:bottom w:val="nil"/>
          <w:right w:val="nil"/>
          <w:between w:val="nil"/>
        </w:pBdr>
        <w:spacing w:after="120"/>
        <w:jc w:val="both"/>
        <w:rPr>
          <w:rFonts w:ascii="Calibri" w:eastAsia="Calibri" w:hAnsi="Calibri" w:cs="Calibri"/>
          <w:color w:val="000000"/>
          <w:sz w:val="28"/>
          <w:szCs w:val="28"/>
        </w:rPr>
      </w:pPr>
      <w:r>
        <w:rPr>
          <w:rFonts w:ascii="Calibri" w:eastAsia="Calibri" w:hAnsi="Calibri" w:cs="Calibri"/>
          <w:color w:val="000000"/>
          <w:sz w:val="28"/>
          <w:szCs w:val="28"/>
        </w:rPr>
        <w:lastRenderedPageBreak/>
        <w:t>Na svěřenský fond, podílový fond nebo fond obhospodařovaný penzijní společností, do kterých je vložena nemovitá věc, se pro účely poplatků za komunální odpad hledí jako na vlastníka této nemovité věci</w:t>
      </w:r>
      <w:r>
        <w:rPr>
          <w:rFonts w:ascii="Calibri" w:eastAsia="Calibri" w:hAnsi="Calibri" w:cs="Calibri"/>
          <w:color w:val="000000"/>
          <w:sz w:val="28"/>
          <w:szCs w:val="28"/>
          <w:vertAlign w:val="superscript"/>
        </w:rPr>
        <w:footnoteReference w:id="19"/>
      </w:r>
      <w:r>
        <w:rPr>
          <w:rFonts w:ascii="Calibri" w:eastAsia="Calibri" w:hAnsi="Calibri" w:cs="Calibri"/>
          <w:color w:val="000000"/>
          <w:sz w:val="28"/>
          <w:szCs w:val="28"/>
        </w:rPr>
        <w:t>.</w:t>
      </w:r>
    </w:p>
    <w:p w14:paraId="00000044" w14:textId="77777777" w:rsidR="00930C73" w:rsidRDefault="00000000">
      <w:pPr>
        <w:keepNext/>
        <w:keepLines/>
        <w:pBdr>
          <w:top w:val="nil"/>
          <w:left w:val="nil"/>
          <w:bottom w:val="nil"/>
          <w:right w:val="nil"/>
          <w:between w:val="nil"/>
        </w:pBdr>
        <w:spacing w:before="240"/>
        <w:jc w:val="center"/>
        <w:rPr>
          <w:rFonts w:ascii="Calibri" w:eastAsia="Calibri" w:hAnsi="Calibri" w:cs="Calibri"/>
          <w:b/>
          <w:color w:val="000000"/>
          <w:sz w:val="28"/>
          <w:szCs w:val="28"/>
        </w:rPr>
      </w:pPr>
      <w:r>
        <w:rPr>
          <w:rFonts w:ascii="Calibri" w:eastAsia="Calibri" w:hAnsi="Calibri" w:cs="Calibri"/>
          <w:b/>
          <w:color w:val="000000"/>
          <w:sz w:val="28"/>
          <w:szCs w:val="28"/>
        </w:rPr>
        <w:t>Čl. 11</w:t>
      </w:r>
    </w:p>
    <w:p w14:paraId="00000045"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Přechodná ustanovení</w:t>
      </w:r>
    </w:p>
    <w:p w14:paraId="00000046" w14:textId="77777777" w:rsidR="00930C73" w:rsidRDefault="00000000">
      <w:pPr>
        <w:spacing w:after="120"/>
        <w:ind w:firstLine="567"/>
        <w:jc w:val="both"/>
        <w:rPr>
          <w:rFonts w:ascii="Calibri" w:eastAsia="Calibri" w:hAnsi="Calibri" w:cs="Calibri"/>
          <w:sz w:val="28"/>
          <w:szCs w:val="28"/>
        </w:rPr>
      </w:pPr>
      <w:r>
        <w:rPr>
          <w:rFonts w:ascii="Calibri" w:eastAsia="Calibri" w:hAnsi="Calibri" w:cs="Calibri"/>
          <w:sz w:val="28"/>
          <w:szCs w:val="28"/>
        </w:rPr>
        <w:t>Poplatkové povinnosti vzniklé před nabytím účinnosti této vyhlášky se posuzují podle dosavadních právních předpisů.</w:t>
      </w:r>
    </w:p>
    <w:p w14:paraId="00000047" w14:textId="77777777" w:rsidR="00930C73" w:rsidRDefault="00000000">
      <w:pPr>
        <w:keepNext/>
        <w:keepLines/>
        <w:pBdr>
          <w:top w:val="nil"/>
          <w:left w:val="nil"/>
          <w:bottom w:val="nil"/>
          <w:right w:val="nil"/>
          <w:between w:val="nil"/>
        </w:pBdr>
        <w:spacing w:before="240"/>
        <w:jc w:val="center"/>
        <w:rPr>
          <w:rFonts w:ascii="Calibri" w:eastAsia="Calibri" w:hAnsi="Calibri" w:cs="Calibri"/>
          <w:b/>
          <w:color w:val="000000"/>
          <w:sz w:val="28"/>
          <w:szCs w:val="28"/>
        </w:rPr>
      </w:pPr>
      <w:r>
        <w:rPr>
          <w:rFonts w:ascii="Calibri" w:eastAsia="Calibri" w:hAnsi="Calibri" w:cs="Calibri"/>
          <w:b/>
          <w:color w:val="000000"/>
          <w:sz w:val="28"/>
          <w:szCs w:val="28"/>
        </w:rPr>
        <w:t>Čl. 12</w:t>
      </w:r>
    </w:p>
    <w:p w14:paraId="00000048"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Zrušovací ustanovení</w:t>
      </w:r>
    </w:p>
    <w:p w14:paraId="00000049" w14:textId="77777777" w:rsidR="00930C73" w:rsidRDefault="00000000">
      <w:pPr>
        <w:ind w:firstLine="567"/>
        <w:jc w:val="both"/>
        <w:rPr>
          <w:rFonts w:ascii="Calibri" w:eastAsia="Calibri" w:hAnsi="Calibri" w:cs="Calibri"/>
          <w:sz w:val="28"/>
          <w:szCs w:val="28"/>
        </w:rPr>
      </w:pPr>
      <w:proofErr w:type="gramStart"/>
      <w:r>
        <w:rPr>
          <w:rFonts w:ascii="Calibri" w:eastAsia="Calibri" w:hAnsi="Calibri" w:cs="Calibri"/>
          <w:sz w:val="28"/>
          <w:szCs w:val="28"/>
        </w:rPr>
        <w:t>Ruší</w:t>
      </w:r>
      <w:proofErr w:type="gramEnd"/>
      <w:r>
        <w:rPr>
          <w:rFonts w:ascii="Calibri" w:eastAsia="Calibri" w:hAnsi="Calibri" w:cs="Calibri"/>
          <w:sz w:val="28"/>
          <w:szCs w:val="28"/>
        </w:rPr>
        <w:t xml:space="preserve"> se Obecně závazná vyhláška obce Strančice č. 4/2021, o místním poplatku za odkládání komunálního odpadu z nemovité věci,</w:t>
      </w:r>
    </w:p>
    <w:p w14:paraId="0000004A" w14:textId="77777777" w:rsidR="00930C73" w:rsidRDefault="00930C73">
      <w:pPr>
        <w:pBdr>
          <w:top w:val="nil"/>
          <w:left w:val="nil"/>
          <w:bottom w:val="nil"/>
          <w:right w:val="nil"/>
          <w:between w:val="nil"/>
        </w:pBdr>
        <w:ind w:left="720"/>
        <w:jc w:val="both"/>
        <w:rPr>
          <w:rFonts w:ascii="Calibri" w:eastAsia="Calibri" w:hAnsi="Calibri" w:cs="Calibri"/>
          <w:color w:val="000000"/>
          <w:sz w:val="28"/>
          <w:szCs w:val="28"/>
        </w:rPr>
      </w:pPr>
    </w:p>
    <w:p w14:paraId="0000004B" w14:textId="77777777" w:rsidR="00930C73" w:rsidRDefault="00000000">
      <w:pPr>
        <w:pBdr>
          <w:top w:val="nil"/>
          <w:left w:val="nil"/>
          <w:bottom w:val="nil"/>
          <w:right w:val="nil"/>
          <w:between w:val="nil"/>
        </w:pBdr>
        <w:spacing w:after="120"/>
        <w:ind w:left="3552" w:firstLine="695"/>
        <w:rPr>
          <w:rFonts w:ascii="Calibri" w:eastAsia="Calibri" w:hAnsi="Calibri" w:cs="Calibri"/>
          <w:b/>
          <w:color w:val="000000"/>
          <w:sz w:val="28"/>
          <w:szCs w:val="28"/>
        </w:rPr>
      </w:pPr>
      <w:r>
        <w:rPr>
          <w:rFonts w:ascii="Calibri" w:eastAsia="Calibri" w:hAnsi="Calibri" w:cs="Calibri"/>
          <w:b/>
          <w:color w:val="000000"/>
          <w:sz w:val="28"/>
          <w:szCs w:val="28"/>
        </w:rPr>
        <w:t>Čl. 13</w:t>
      </w:r>
    </w:p>
    <w:p w14:paraId="0000004C" w14:textId="77777777" w:rsidR="00930C73" w:rsidRDefault="00000000">
      <w:pPr>
        <w:keepNext/>
        <w:keepLines/>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Účinnost</w:t>
      </w:r>
    </w:p>
    <w:p w14:paraId="0000004D" w14:textId="7CB4A51B" w:rsidR="00930C73" w:rsidRDefault="00000000">
      <w:pPr>
        <w:spacing w:after="120"/>
        <w:ind w:firstLine="567"/>
        <w:jc w:val="both"/>
        <w:rPr>
          <w:rFonts w:ascii="Calibri" w:eastAsia="Calibri" w:hAnsi="Calibri" w:cs="Calibri"/>
          <w:sz w:val="28"/>
          <w:szCs w:val="28"/>
        </w:rPr>
      </w:pPr>
      <w:r>
        <w:rPr>
          <w:rFonts w:ascii="Calibri" w:eastAsia="Calibri" w:hAnsi="Calibri" w:cs="Calibri"/>
          <w:sz w:val="28"/>
          <w:szCs w:val="28"/>
        </w:rPr>
        <w:t>Tato vyhláška nabývá účinnosti 1. 1. 2023.</w:t>
      </w:r>
    </w:p>
    <w:p w14:paraId="392EF73E" w14:textId="77777777" w:rsidR="0054546B" w:rsidRDefault="0054546B">
      <w:pPr>
        <w:spacing w:after="120"/>
        <w:ind w:firstLine="567"/>
        <w:jc w:val="both"/>
        <w:rPr>
          <w:rFonts w:ascii="Calibri" w:eastAsia="Calibri" w:hAnsi="Calibri" w:cs="Calibri"/>
          <w:sz w:val="28"/>
          <w:szCs w:val="28"/>
        </w:rPr>
      </w:pPr>
    </w:p>
    <w:p w14:paraId="0000004E" w14:textId="1F4BA6BA" w:rsidR="00930C73" w:rsidRDefault="00000000">
      <w:pPr>
        <w:pBdr>
          <w:top w:val="nil"/>
          <w:left w:val="nil"/>
          <w:bottom w:val="nil"/>
          <w:right w:val="nil"/>
          <w:between w:val="nil"/>
        </w:pBdr>
        <w:tabs>
          <w:tab w:val="left" w:pos="-6120"/>
          <w:tab w:val="center" w:pos="2340"/>
          <w:tab w:val="center" w:pos="6840"/>
        </w:tabs>
        <w:spacing w:before="960" w:after="120" w:line="288" w:lineRule="auto"/>
        <w:rPr>
          <w:rFonts w:ascii="Calibri" w:eastAsia="Calibri" w:hAnsi="Calibri" w:cs="Calibri"/>
          <w:color w:val="000000"/>
          <w:sz w:val="28"/>
          <w:szCs w:val="28"/>
        </w:rPr>
      </w:pPr>
      <w:r>
        <w:rPr>
          <w:rFonts w:ascii="Calibri" w:eastAsia="Calibri" w:hAnsi="Calibri" w:cs="Calibri"/>
          <w:color w:val="000000"/>
          <w:sz w:val="28"/>
          <w:szCs w:val="28"/>
        </w:rPr>
        <w:tab/>
        <w:t>…</w:t>
      </w:r>
      <w:r w:rsidR="0054546B">
        <w:rPr>
          <w:rFonts w:ascii="Calibri" w:eastAsia="Calibri" w:hAnsi="Calibri" w:cs="Calibri"/>
          <w:color w:val="000000"/>
          <w:sz w:val="28"/>
          <w:szCs w:val="28"/>
        </w:rPr>
        <w:t>v.r.</w:t>
      </w:r>
      <w:r>
        <w:rPr>
          <w:rFonts w:ascii="Calibri" w:eastAsia="Calibri" w:hAnsi="Calibri" w:cs="Calibri"/>
          <w:color w:val="000000"/>
          <w:sz w:val="28"/>
          <w:szCs w:val="28"/>
        </w:rPr>
        <w:t>…………………….</w:t>
      </w:r>
      <w:r>
        <w:rPr>
          <w:rFonts w:ascii="Calibri" w:eastAsia="Calibri" w:hAnsi="Calibri" w:cs="Calibri"/>
          <w:color w:val="000000"/>
          <w:sz w:val="28"/>
          <w:szCs w:val="28"/>
        </w:rPr>
        <w:tab/>
        <w:t>…</w:t>
      </w:r>
      <w:r w:rsidR="0054546B">
        <w:rPr>
          <w:rFonts w:ascii="Calibri" w:eastAsia="Calibri" w:hAnsi="Calibri" w:cs="Calibri"/>
          <w:color w:val="000000"/>
          <w:sz w:val="28"/>
          <w:szCs w:val="28"/>
        </w:rPr>
        <w:t>v.r.</w:t>
      </w:r>
      <w:r>
        <w:rPr>
          <w:rFonts w:ascii="Calibri" w:eastAsia="Calibri" w:hAnsi="Calibri" w:cs="Calibri"/>
          <w:color w:val="000000"/>
          <w:sz w:val="28"/>
          <w:szCs w:val="28"/>
        </w:rPr>
        <w:t>…………………</w:t>
      </w:r>
      <w:proofErr w:type="gramStart"/>
      <w:r>
        <w:rPr>
          <w:rFonts w:ascii="Calibri" w:eastAsia="Calibri" w:hAnsi="Calibri" w:cs="Calibri"/>
          <w:color w:val="000000"/>
          <w:sz w:val="28"/>
          <w:szCs w:val="28"/>
        </w:rPr>
        <w:t>…….</w:t>
      </w:r>
      <w:proofErr w:type="gramEnd"/>
      <w:r>
        <w:rPr>
          <w:rFonts w:ascii="Calibri" w:eastAsia="Calibri" w:hAnsi="Calibri" w:cs="Calibri"/>
          <w:color w:val="000000"/>
          <w:sz w:val="28"/>
          <w:szCs w:val="28"/>
        </w:rPr>
        <w:t>.</w:t>
      </w:r>
    </w:p>
    <w:p w14:paraId="0000004F" w14:textId="77777777" w:rsidR="00930C73" w:rsidRDefault="00000000">
      <w:pPr>
        <w:pBdr>
          <w:top w:val="nil"/>
          <w:left w:val="nil"/>
          <w:bottom w:val="nil"/>
          <w:right w:val="nil"/>
          <w:between w:val="nil"/>
        </w:pBdr>
        <w:tabs>
          <w:tab w:val="left" w:pos="-6120"/>
          <w:tab w:val="center" w:pos="2340"/>
          <w:tab w:val="center" w:pos="6840"/>
        </w:tabs>
        <w:spacing w:after="120" w:line="288" w:lineRule="auto"/>
        <w:rPr>
          <w:rFonts w:ascii="Calibri" w:eastAsia="Calibri" w:hAnsi="Calibri" w:cs="Calibri"/>
          <w:color w:val="000000"/>
          <w:sz w:val="28"/>
          <w:szCs w:val="28"/>
        </w:rPr>
      </w:pPr>
      <w:r>
        <w:rPr>
          <w:rFonts w:ascii="Calibri" w:eastAsia="Calibri" w:hAnsi="Calibri" w:cs="Calibri"/>
          <w:color w:val="000000"/>
          <w:sz w:val="28"/>
          <w:szCs w:val="28"/>
        </w:rPr>
        <w:tab/>
        <w:t>Mgr. Oldřich Trejbal</w:t>
      </w:r>
      <w:r>
        <w:rPr>
          <w:rFonts w:ascii="Calibri" w:eastAsia="Calibri" w:hAnsi="Calibri" w:cs="Calibri"/>
          <w:color w:val="000000"/>
          <w:sz w:val="28"/>
          <w:szCs w:val="28"/>
        </w:rPr>
        <w:tab/>
        <w:t>Ing. Jiří Jančík</w:t>
      </w:r>
    </w:p>
    <w:p w14:paraId="00000050" w14:textId="77777777" w:rsidR="00930C73" w:rsidRDefault="00000000">
      <w:pPr>
        <w:pBdr>
          <w:top w:val="nil"/>
          <w:left w:val="nil"/>
          <w:bottom w:val="nil"/>
          <w:right w:val="nil"/>
          <w:between w:val="nil"/>
        </w:pBdr>
        <w:tabs>
          <w:tab w:val="left" w:pos="-6120"/>
          <w:tab w:val="center" w:pos="2340"/>
          <w:tab w:val="center" w:pos="6840"/>
        </w:tabs>
        <w:spacing w:after="120" w:line="288" w:lineRule="auto"/>
        <w:rPr>
          <w:rFonts w:ascii="Calibri" w:eastAsia="Calibri" w:hAnsi="Calibri" w:cs="Calibri"/>
          <w:color w:val="000000"/>
          <w:sz w:val="28"/>
          <w:szCs w:val="28"/>
        </w:rPr>
      </w:pPr>
      <w:r>
        <w:rPr>
          <w:rFonts w:ascii="Calibri" w:eastAsia="Calibri" w:hAnsi="Calibri" w:cs="Calibri"/>
          <w:color w:val="000000"/>
          <w:sz w:val="28"/>
          <w:szCs w:val="28"/>
        </w:rPr>
        <w:tab/>
        <w:t>starosta obce</w:t>
      </w:r>
      <w:r>
        <w:rPr>
          <w:rFonts w:ascii="Calibri" w:eastAsia="Calibri" w:hAnsi="Calibri" w:cs="Calibri"/>
          <w:color w:val="000000"/>
          <w:sz w:val="28"/>
          <w:szCs w:val="28"/>
        </w:rPr>
        <w:tab/>
        <w:t>místostarosta obce</w:t>
      </w:r>
    </w:p>
    <w:p w14:paraId="00000051" w14:textId="77777777" w:rsidR="00930C73" w:rsidRDefault="00930C73">
      <w:pPr>
        <w:pBdr>
          <w:top w:val="nil"/>
          <w:left w:val="nil"/>
          <w:bottom w:val="nil"/>
          <w:right w:val="nil"/>
          <w:between w:val="nil"/>
        </w:pBdr>
        <w:tabs>
          <w:tab w:val="left" w:pos="1080"/>
          <w:tab w:val="left" w:pos="7020"/>
        </w:tabs>
        <w:rPr>
          <w:rFonts w:ascii="Calibri" w:eastAsia="Calibri" w:hAnsi="Calibri" w:cs="Calibri"/>
          <w:color w:val="000000"/>
          <w:sz w:val="28"/>
          <w:szCs w:val="28"/>
        </w:rPr>
      </w:pPr>
    </w:p>
    <w:p w14:paraId="00000052" w14:textId="77777777" w:rsidR="00930C73" w:rsidRDefault="00930C73">
      <w:pPr>
        <w:pBdr>
          <w:top w:val="nil"/>
          <w:left w:val="nil"/>
          <w:bottom w:val="nil"/>
          <w:right w:val="nil"/>
          <w:between w:val="nil"/>
        </w:pBdr>
        <w:tabs>
          <w:tab w:val="left" w:pos="1080"/>
          <w:tab w:val="left" w:pos="7020"/>
        </w:tabs>
        <w:spacing w:after="120"/>
        <w:rPr>
          <w:rFonts w:ascii="Calibri" w:eastAsia="Calibri" w:hAnsi="Calibri" w:cs="Calibri"/>
          <w:color w:val="000000"/>
          <w:sz w:val="28"/>
          <w:szCs w:val="28"/>
        </w:rPr>
      </w:pPr>
    </w:p>
    <w:p w14:paraId="00000053" w14:textId="77777777" w:rsidR="00930C73" w:rsidRDefault="00000000">
      <w:pPr>
        <w:spacing w:line="360" w:lineRule="auto"/>
        <w:rPr>
          <w:rFonts w:ascii="Calibri" w:eastAsia="Calibri" w:hAnsi="Calibri" w:cs="Calibri"/>
          <w:sz w:val="28"/>
          <w:szCs w:val="28"/>
        </w:rPr>
      </w:pPr>
      <w:r>
        <w:rPr>
          <w:rFonts w:ascii="Calibri" w:eastAsia="Calibri" w:hAnsi="Calibri" w:cs="Calibri"/>
          <w:sz w:val="28"/>
          <w:szCs w:val="28"/>
        </w:rPr>
        <w:tab/>
        <w:t xml:space="preserve"> </w:t>
      </w:r>
    </w:p>
    <w:sectPr w:rsidR="00930C73">
      <w:pgSz w:w="11906" w:h="16838"/>
      <w:pgMar w:top="1701"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F073" w14:textId="77777777" w:rsidR="00355419" w:rsidRDefault="00355419">
      <w:r>
        <w:separator/>
      </w:r>
    </w:p>
  </w:endnote>
  <w:endnote w:type="continuationSeparator" w:id="0">
    <w:p w14:paraId="625D3A28" w14:textId="77777777" w:rsidR="00355419" w:rsidRDefault="0035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0425" w14:textId="77777777" w:rsidR="00355419" w:rsidRDefault="00355419">
      <w:r>
        <w:separator/>
      </w:r>
    </w:p>
  </w:footnote>
  <w:footnote w:type="continuationSeparator" w:id="0">
    <w:p w14:paraId="2DEF2B96" w14:textId="77777777" w:rsidR="00355419" w:rsidRDefault="00355419">
      <w:r>
        <w:continuationSeparator/>
      </w:r>
    </w:p>
  </w:footnote>
  <w:footnote w:id="1">
    <w:p w14:paraId="00000054"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15 odst. 1 zákona o místních poplatcích</w:t>
      </w:r>
    </w:p>
  </w:footnote>
  <w:footnote w:id="2">
    <w:p w14:paraId="00000055"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10j zákona o místních poplatcích</w:t>
      </w:r>
    </w:p>
  </w:footnote>
  <w:footnote w:id="3">
    <w:p w14:paraId="00000056"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10i zákona o místních poplatcích</w:t>
      </w:r>
    </w:p>
  </w:footnote>
  <w:footnote w:id="4">
    <w:p w14:paraId="00000057"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10n odst. </w:t>
      </w:r>
      <w:proofErr w:type="gramStart"/>
      <w:r>
        <w:rPr>
          <w:color w:val="000000"/>
          <w:sz w:val="20"/>
          <w:szCs w:val="20"/>
        </w:rPr>
        <w:t>1  zákona</w:t>
      </w:r>
      <w:proofErr w:type="gramEnd"/>
      <w:r>
        <w:rPr>
          <w:color w:val="000000"/>
          <w:sz w:val="20"/>
          <w:szCs w:val="20"/>
        </w:rPr>
        <w:t xml:space="preserve"> o místních poplatcích</w:t>
      </w:r>
    </w:p>
  </w:footnote>
  <w:footnote w:id="5">
    <w:p w14:paraId="00000058"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10n odst. </w:t>
      </w:r>
      <w:proofErr w:type="gramStart"/>
      <w:r>
        <w:rPr>
          <w:color w:val="000000"/>
          <w:sz w:val="20"/>
          <w:szCs w:val="20"/>
        </w:rPr>
        <w:t>2  zákona</w:t>
      </w:r>
      <w:proofErr w:type="gramEnd"/>
      <w:r>
        <w:rPr>
          <w:color w:val="000000"/>
          <w:sz w:val="20"/>
          <w:szCs w:val="20"/>
        </w:rPr>
        <w:t xml:space="preserve"> o místních poplatcích</w:t>
      </w:r>
    </w:p>
  </w:footnote>
  <w:footnote w:id="6">
    <w:p w14:paraId="00000059"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 xml:space="preserve"> 10p zákona o místních poplatcích</w:t>
      </w:r>
    </w:p>
  </w:footnote>
  <w:footnote w:id="7">
    <w:p w14:paraId="0000005A"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10o odst. 1 zákona o místních poplatcích</w:t>
      </w:r>
    </w:p>
  </w:footnote>
  <w:footnote w:id="8">
    <w:p w14:paraId="0000005B"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14a odst. 2 zákona o místních poplatcích</w:t>
      </w:r>
    </w:p>
  </w:footnote>
  <w:footnote w:id="9">
    <w:p w14:paraId="0000005C"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14a odst. 3 zákona o místních poplatcích</w:t>
      </w:r>
    </w:p>
  </w:footnote>
  <w:footnote w:id="10">
    <w:p w14:paraId="0000005D"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14a odst. 4 zákona o místních poplatcích</w:t>
      </w:r>
    </w:p>
  </w:footnote>
  <w:footnote w:id="11">
    <w:p w14:paraId="0000005E"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14a odst. 5 zákona o místních poplatcích</w:t>
      </w:r>
    </w:p>
  </w:footnote>
  <w:footnote w:id="12">
    <w:p w14:paraId="0000005F" w14:textId="77777777" w:rsidR="00930C73" w:rsidRDefault="00000000">
      <w:pPr>
        <w:pBdr>
          <w:top w:val="nil"/>
          <w:left w:val="nil"/>
          <w:bottom w:val="nil"/>
          <w:right w:val="nil"/>
          <w:between w:val="nil"/>
        </w:pBdr>
        <w:ind w:left="284" w:hanging="284"/>
        <w:rPr>
          <w:color w:val="000000"/>
          <w:sz w:val="20"/>
          <w:szCs w:val="20"/>
        </w:rPr>
      </w:pPr>
      <w:r>
        <w:rPr>
          <w:vertAlign w:val="superscript"/>
        </w:rPr>
        <w:footnoteRef/>
      </w:r>
      <w:r>
        <w:rPr>
          <w:color w:val="000000"/>
          <w:sz w:val="20"/>
          <w:szCs w:val="20"/>
        </w:rPr>
        <w:t xml:space="preserve"> Absencí plátce je míněna situace, kdy je osoba poplatníka a plátce totožná (např. vlastník nemovité věci, v níž nemá nikdo bydliště) a jedná tudíž pouze v postavení poplatníka.</w:t>
      </w:r>
    </w:p>
  </w:footnote>
  <w:footnote w:id="13">
    <w:p w14:paraId="00000060"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10k ve spojení s § 10o odst. 2 zákona o místních poplatcích</w:t>
      </w:r>
    </w:p>
  </w:footnote>
  <w:footnote w:id="14">
    <w:p w14:paraId="00000061"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w:t>
      </w:r>
      <w:r>
        <w:rPr>
          <w:rFonts w:ascii="Arial" w:eastAsia="Arial" w:hAnsi="Arial" w:cs="Arial"/>
          <w:color w:val="000000"/>
          <w:sz w:val="18"/>
          <w:szCs w:val="18"/>
        </w:rPr>
        <w:t>10m ve spojení s § 10o odst. 2 zákona o místních poplatcích</w:t>
      </w:r>
    </w:p>
  </w:footnote>
  <w:footnote w:id="15">
    <w:p w14:paraId="00000062"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11 odst. 1 zákona o místních poplatcích</w:t>
      </w:r>
    </w:p>
  </w:footnote>
  <w:footnote w:id="16">
    <w:p w14:paraId="00000063"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11 odst. 2 zákona o místních poplatcích</w:t>
      </w:r>
    </w:p>
  </w:footnote>
  <w:footnote w:id="17">
    <w:p w14:paraId="00000064"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11 odst. 3 zákona o místních poplatcích</w:t>
      </w:r>
    </w:p>
  </w:footnote>
  <w:footnote w:id="18">
    <w:p w14:paraId="00000065"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10q zákona o místních poplatcích</w:t>
      </w:r>
    </w:p>
  </w:footnote>
  <w:footnote w:id="19">
    <w:p w14:paraId="00000066" w14:textId="77777777" w:rsidR="00930C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15D7"/>
    <w:multiLevelType w:val="multilevel"/>
    <w:tmpl w:val="3E301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7F0537"/>
    <w:multiLevelType w:val="multilevel"/>
    <w:tmpl w:val="6B1EFE80"/>
    <w:lvl w:ilvl="0">
      <w:start w:val="1"/>
      <w:numFmt w:val="decimal"/>
      <w:lvlText w:val="(%1)"/>
      <w:lvlJc w:val="left"/>
      <w:pPr>
        <w:ind w:left="567" w:hanging="567"/>
      </w:pPr>
    </w:lvl>
    <w:lvl w:ilvl="1">
      <w:start w:val="1"/>
      <w:numFmt w:val="lowerLetter"/>
      <w:lvlText w:val="%2)"/>
      <w:lvlJc w:val="left"/>
      <w:pPr>
        <w:ind w:left="992"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5E52B7"/>
    <w:multiLevelType w:val="multilevel"/>
    <w:tmpl w:val="1D325BDA"/>
    <w:lvl w:ilvl="0">
      <w:start w:val="1"/>
      <w:numFmt w:val="decimal"/>
      <w:lvlText w:val="(%1)"/>
      <w:lvlJc w:val="left"/>
      <w:pPr>
        <w:ind w:left="567" w:hanging="567"/>
      </w:pPr>
    </w:lvl>
    <w:lvl w:ilvl="1">
      <w:start w:val="1"/>
      <w:numFmt w:val="lowerLetter"/>
      <w:lvlText w:val="%2)"/>
      <w:lvlJc w:val="left"/>
      <w:pPr>
        <w:ind w:left="992"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CA5A55"/>
    <w:multiLevelType w:val="multilevel"/>
    <w:tmpl w:val="806ADCFA"/>
    <w:lvl w:ilvl="0">
      <w:start w:val="1"/>
      <w:numFmt w:val="decimal"/>
      <w:lvlText w:val="(%1)"/>
      <w:lvlJc w:val="left"/>
      <w:pPr>
        <w:ind w:left="567" w:hanging="567"/>
      </w:pPr>
    </w:lvl>
    <w:lvl w:ilvl="1">
      <w:start w:val="1"/>
      <w:numFmt w:val="lowerLetter"/>
      <w:lvlText w:val="%2)"/>
      <w:lvlJc w:val="left"/>
      <w:pPr>
        <w:ind w:left="992"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6F7F6F"/>
    <w:multiLevelType w:val="multilevel"/>
    <w:tmpl w:val="2BD8624C"/>
    <w:lvl w:ilvl="0">
      <w:start w:val="1"/>
      <w:numFmt w:val="decimal"/>
      <w:pStyle w:val="Seznamoslova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E326937"/>
    <w:multiLevelType w:val="multilevel"/>
    <w:tmpl w:val="55A86654"/>
    <w:lvl w:ilvl="0">
      <w:start w:val="1"/>
      <w:numFmt w:val="decimal"/>
      <w:lvlText w:val="(%1)"/>
      <w:lvlJc w:val="left"/>
      <w:pPr>
        <w:ind w:left="567" w:hanging="567"/>
      </w:pPr>
    </w:lvl>
    <w:lvl w:ilvl="1">
      <w:start w:val="1"/>
      <w:numFmt w:val="lowerLetter"/>
      <w:lvlText w:val="%2)"/>
      <w:lvlJc w:val="left"/>
      <w:pPr>
        <w:ind w:left="992"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FC7FA2"/>
    <w:multiLevelType w:val="multilevel"/>
    <w:tmpl w:val="8922782C"/>
    <w:lvl w:ilvl="0">
      <w:start w:val="1"/>
      <w:numFmt w:val="decimal"/>
      <w:pStyle w:val="Oddstavcevlncc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584509"/>
    <w:multiLevelType w:val="multilevel"/>
    <w:tmpl w:val="7438F970"/>
    <w:lvl w:ilvl="0">
      <w:start w:val="1"/>
      <w:numFmt w:val="decimal"/>
      <w:lvlText w:val="(%1)"/>
      <w:lvlJc w:val="left"/>
      <w:pPr>
        <w:ind w:left="567" w:hanging="567"/>
      </w:pPr>
    </w:lvl>
    <w:lvl w:ilvl="1">
      <w:start w:val="1"/>
      <w:numFmt w:val="lowerLetter"/>
      <w:lvlText w:val="%2)"/>
      <w:lvlJc w:val="left"/>
      <w:pPr>
        <w:ind w:left="992"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7A78A7"/>
    <w:multiLevelType w:val="multilevel"/>
    <w:tmpl w:val="FBB877A2"/>
    <w:lvl w:ilvl="0">
      <w:start w:val="1"/>
      <w:numFmt w:val="decimal"/>
      <w:lvlText w:val="(%1)"/>
      <w:lvlJc w:val="left"/>
      <w:pPr>
        <w:ind w:left="567" w:hanging="567"/>
      </w:pPr>
    </w:lvl>
    <w:lvl w:ilvl="1">
      <w:start w:val="1"/>
      <w:numFmt w:val="lowerLetter"/>
      <w:lvlText w:val="%2)"/>
      <w:lvlJc w:val="left"/>
      <w:pPr>
        <w:ind w:left="992"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0717517">
    <w:abstractNumId w:val="6"/>
  </w:num>
  <w:num w:numId="2" w16cid:durableId="1708800377">
    <w:abstractNumId w:val="0"/>
  </w:num>
  <w:num w:numId="3" w16cid:durableId="267587795">
    <w:abstractNumId w:val="2"/>
  </w:num>
  <w:num w:numId="4" w16cid:durableId="1664045445">
    <w:abstractNumId w:val="7"/>
  </w:num>
  <w:num w:numId="5" w16cid:durableId="718668605">
    <w:abstractNumId w:val="5"/>
  </w:num>
  <w:num w:numId="6" w16cid:durableId="437868601">
    <w:abstractNumId w:val="3"/>
  </w:num>
  <w:num w:numId="7" w16cid:durableId="1456487266">
    <w:abstractNumId w:val="1"/>
  </w:num>
  <w:num w:numId="8" w16cid:durableId="1130443451">
    <w:abstractNumId w:val="8"/>
  </w:num>
  <w:num w:numId="9" w16cid:durableId="1153302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73"/>
    <w:rsid w:val="00304AFD"/>
    <w:rsid w:val="003125F7"/>
    <w:rsid w:val="00355419"/>
    <w:rsid w:val="0054546B"/>
    <w:rsid w:val="00930C73"/>
    <w:rsid w:val="00A84A0B"/>
    <w:rsid w:val="00D26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E99A"/>
  <w15:docId w15:val="{DE7743B7-06D6-4100-BE71-EC1BDEED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4826"/>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0B2166"/>
    <w:pPr>
      <w:keepNext/>
      <w:jc w:val="both"/>
      <w:outlineLvl w:val="1"/>
    </w:pPr>
    <w:rPr>
      <w:u w:val="single"/>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link w:val="Nadpis6Char"/>
    <w:uiPriority w:val="9"/>
    <w:semiHidden/>
    <w:unhideWhenUsed/>
    <w:qFormat/>
    <w:rsid w:val="000B2166"/>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Hlava">
    <w:name w:val="Hlava"/>
    <w:basedOn w:val="Normln"/>
    <w:rsid w:val="00054F3C"/>
    <w:pPr>
      <w:autoSpaceDE w:val="0"/>
      <w:autoSpaceDN w:val="0"/>
      <w:spacing w:before="240"/>
      <w:jc w:val="center"/>
    </w:pPr>
    <w:rPr>
      <w:rFonts w:ascii="Arial" w:hAnsi="Arial" w:cs="Arial"/>
    </w:rPr>
  </w:style>
  <w:style w:type="paragraph" w:customStyle="1" w:styleId="Seznamoslovan">
    <w:name w:val="Seznam očíslovaný~"/>
    <w:basedOn w:val="Normln"/>
    <w:rsid w:val="00C305A6"/>
    <w:pPr>
      <w:numPr>
        <w:numId w:val="9"/>
      </w:numPr>
      <w:suppressAutoHyphens/>
      <w:overflowPunct w:val="0"/>
      <w:autoSpaceDE w:val="0"/>
      <w:autoSpaceDN w:val="0"/>
      <w:adjustRightInd w:val="0"/>
      <w:spacing w:line="230" w:lineRule="auto"/>
      <w:jc w:val="both"/>
      <w:textAlignment w:val="baseline"/>
    </w:pPr>
    <w:rPr>
      <w:szCs w:val="20"/>
    </w:rPr>
  </w:style>
  <w:style w:type="paragraph" w:styleId="Rozloendokumentu">
    <w:name w:val="Document Map"/>
    <w:basedOn w:val="Normln"/>
    <w:semiHidden/>
    <w:rsid w:val="000D152D"/>
    <w:pPr>
      <w:shd w:val="clear" w:color="auto" w:fill="000080"/>
    </w:pPr>
    <w:rPr>
      <w:rFonts w:ascii="Tahoma" w:hAnsi="Tahoma" w:cs="Tahoma"/>
      <w:sz w:val="20"/>
      <w:szCs w:val="20"/>
    </w:rPr>
  </w:style>
  <w:style w:type="character" w:customStyle="1" w:styleId="mm">
    <w:name w:val="mm"/>
    <w:semiHidden/>
    <w:rsid w:val="00D1584C"/>
    <w:rPr>
      <w:rFonts w:ascii="Arial" w:hAnsi="Arial" w:cs="Arial"/>
      <w:color w:val="auto"/>
      <w:sz w:val="20"/>
      <w:szCs w:val="20"/>
    </w:rPr>
  </w:style>
  <w:style w:type="table" w:styleId="Mkatabulky">
    <w:name w:val="Table Grid"/>
    <w:basedOn w:val="Normlntabulka"/>
    <w:rsid w:val="00D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C1283B"/>
    <w:rPr>
      <w:sz w:val="16"/>
      <w:szCs w:val="16"/>
    </w:rPr>
  </w:style>
  <w:style w:type="paragraph" w:styleId="Textkomente">
    <w:name w:val="annotation text"/>
    <w:basedOn w:val="Normln"/>
    <w:link w:val="TextkomenteChar"/>
    <w:rsid w:val="00C1283B"/>
    <w:rPr>
      <w:sz w:val="20"/>
      <w:szCs w:val="20"/>
    </w:rPr>
  </w:style>
  <w:style w:type="character" w:customStyle="1" w:styleId="TextkomenteChar">
    <w:name w:val="Text komentáře Char"/>
    <w:basedOn w:val="Standardnpsmoodstavce"/>
    <w:link w:val="Textkomente"/>
    <w:rsid w:val="00C1283B"/>
  </w:style>
  <w:style w:type="paragraph" w:styleId="Pedmtkomente">
    <w:name w:val="annotation subject"/>
    <w:basedOn w:val="Textkomente"/>
    <w:next w:val="Textkomente"/>
    <w:link w:val="PedmtkomenteChar"/>
    <w:rsid w:val="00C1283B"/>
    <w:rPr>
      <w:b/>
      <w:bCs/>
    </w:rPr>
  </w:style>
  <w:style w:type="character" w:customStyle="1" w:styleId="PedmtkomenteChar">
    <w:name w:val="Předmět komentáře Char"/>
    <w:link w:val="Pedmtkomente"/>
    <w:rsid w:val="00C1283B"/>
    <w:rPr>
      <w:b/>
      <w:bCs/>
    </w:rPr>
  </w:style>
  <w:style w:type="paragraph" w:styleId="Odstavecseseznamem">
    <w:name w:val="List Paragraph"/>
    <w:basedOn w:val="Normln"/>
    <w:uiPriority w:val="34"/>
    <w:qFormat/>
    <w:rsid w:val="00845CAA"/>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cVeURLNl40XoREkACUoYE3oWyA==">AMUW2mWxJqaydgRXlfz5JKVHg3SRXMh+TqOe0B+2Sj3spbQZy1Zv5DR8RJbHsf++qhpC4fzWO/awDOwNYZCP83VHqOdVxX854En9fmpFKSZpNDZuSwTgjbg=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944</Words>
  <Characters>5574</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Žemlová Hana, JUDr.</dc:creator>
  <cp:lastModifiedBy>Kamila Blechová</cp:lastModifiedBy>
  <cp:revision>4</cp:revision>
  <dcterms:created xsi:type="dcterms:W3CDTF">2022-12-05T13:24:00Z</dcterms:created>
  <dcterms:modified xsi:type="dcterms:W3CDTF">2022-12-14T07:47:00Z</dcterms:modified>
</cp:coreProperties>
</file>