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F159" w14:textId="77777777" w:rsidR="001A037B" w:rsidRDefault="00000000">
      <w:pPr>
        <w:jc w:val="center"/>
        <w:rPr>
          <w:rFonts w:ascii="Arial" w:hAnsi="Arial" w:cs="Arial"/>
          <w:b/>
          <w:bCs/>
        </w:rPr>
      </w:pPr>
      <w:bookmarkStart w:id="0" w:name="_Hlk199838621"/>
      <w:r>
        <w:rPr>
          <w:rFonts w:ascii="Arial" w:hAnsi="Arial" w:cs="Arial"/>
          <w:b/>
          <w:bCs/>
        </w:rPr>
        <w:t>Město Hronov</w:t>
      </w:r>
    </w:p>
    <w:p w14:paraId="1C029370" w14:textId="77777777" w:rsidR="001A037B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14:paraId="29DEFAB1" w14:textId="77777777" w:rsidR="001A037B" w:rsidRDefault="00000000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3BAEA7D4" wp14:editId="36695120">
            <wp:extent cx="604637" cy="707388"/>
            <wp:effectExtent l="0" t="0" r="4963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637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442B52" w14:textId="77777777" w:rsidR="001A037B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5D276D9C" w14:textId="77777777" w:rsidR="007868F2" w:rsidRPr="007868F2" w:rsidRDefault="007868F2" w:rsidP="007868F2">
      <w:pPr>
        <w:pStyle w:val="UvodniVeta"/>
        <w:jc w:val="center"/>
        <w:rPr>
          <w:rFonts w:cs="Arial"/>
          <w:b/>
        </w:rPr>
      </w:pPr>
      <w:r w:rsidRPr="007868F2">
        <w:rPr>
          <w:rFonts w:cs="Arial"/>
          <w:b/>
        </w:rPr>
        <w:t>kterou se zakazuje konzumace alkoholických nápojů na vymezených veřejných prostranstvích</w:t>
      </w:r>
    </w:p>
    <w:p w14:paraId="0838DB18" w14:textId="4097CB03" w:rsidR="001A037B" w:rsidRDefault="00000000">
      <w:pPr>
        <w:pStyle w:val="UvodniVeta"/>
      </w:pPr>
      <w:r>
        <w:t>Zastupitelstvo města Hronov se na svém zasedání dne</w:t>
      </w:r>
      <w:r w:rsidR="00204402">
        <w:t xml:space="preserve"> 17. 9. 2025</w:t>
      </w:r>
      <w:r>
        <w:t xml:space="preserve"> </w:t>
      </w:r>
      <w:r w:rsidR="003E7DBC">
        <w:t xml:space="preserve">usnesením </w:t>
      </w:r>
      <w:r w:rsidR="00204402">
        <w:t>4/2025</w:t>
      </w:r>
      <w:r w:rsidR="003E7DBC">
        <w:t xml:space="preserve"> </w:t>
      </w:r>
      <w:r>
        <w:t xml:space="preserve">usneslo vydat na základě </w:t>
      </w:r>
      <w:r w:rsidR="003E7DBC" w:rsidRPr="003E7DBC">
        <w:rPr>
          <w:rFonts w:hint="cs"/>
        </w:rPr>
        <w:t>§</w:t>
      </w:r>
      <w:r w:rsidR="003E7DBC">
        <w:t> </w:t>
      </w:r>
      <w:r w:rsidR="003E7DBC" w:rsidRPr="003E7DBC">
        <w:t>17</w:t>
      </w:r>
      <w:r w:rsidR="003E7DBC">
        <w:t> </w:t>
      </w:r>
      <w:r w:rsidR="003E7DBC" w:rsidRPr="003E7DBC">
        <w:t>odst. 2 p</w:t>
      </w:r>
      <w:r w:rsidR="003E7DBC" w:rsidRPr="003E7DBC">
        <w:rPr>
          <w:rFonts w:hint="cs"/>
        </w:rPr>
        <w:t>í</w:t>
      </w:r>
      <w:r w:rsidR="003E7DBC" w:rsidRPr="003E7DBC">
        <w:t>sm. a) z</w:t>
      </w:r>
      <w:r w:rsidR="003E7DBC" w:rsidRPr="003E7DBC">
        <w:rPr>
          <w:rFonts w:hint="cs"/>
        </w:rPr>
        <w:t>á</w:t>
      </w:r>
      <w:r w:rsidR="003E7DBC" w:rsidRPr="003E7DBC">
        <w:t xml:space="preserve">kona </w:t>
      </w:r>
      <w:r w:rsidR="003E7DBC" w:rsidRPr="003E7DBC">
        <w:rPr>
          <w:rFonts w:hint="cs"/>
        </w:rPr>
        <w:t>č</w:t>
      </w:r>
      <w:r w:rsidR="003E7DBC" w:rsidRPr="003E7DBC">
        <w:t>. 65/2017 Sb., o ochran</w:t>
      </w:r>
      <w:r w:rsidR="003E7DBC" w:rsidRPr="003E7DBC">
        <w:rPr>
          <w:rFonts w:hint="cs"/>
        </w:rPr>
        <w:t>ě</w:t>
      </w:r>
      <w:r w:rsidR="003E7DBC" w:rsidRPr="003E7DBC">
        <w:t xml:space="preserve"> zdrav</w:t>
      </w:r>
      <w:r w:rsidR="003E7DBC" w:rsidRPr="003E7DBC">
        <w:rPr>
          <w:rFonts w:hint="cs"/>
        </w:rPr>
        <w:t>í</w:t>
      </w:r>
      <w:r w:rsidR="003E7DBC" w:rsidRPr="003E7DBC">
        <w:t xml:space="preserve"> p</w:t>
      </w:r>
      <w:r w:rsidR="003E7DBC" w:rsidRPr="003E7DBC">
        <w:rPr>
          <w:rFonts w:hint="cs"/>
        </w:rPr>
        <w:t>ř</w:t>
      </w:r>
      <w:r w:rsidR="003E7DBC" w:rsidRPr="003E7DBC">
        <w:t xml:space="preserve">ed </w:t>
      </w:r>
      <w:r w:rsidR="003E7DBC" w:rsidRPr="003E7DBC">
        <w:rPr>
          <w:rFonts w:hint="cs"/>
        </w:rPr>
        <w:t>š</w:t>
      </w:r>
      <w:r w:rsidR="003E7DBC" w:rsidRPr="003E7DBC">
        <w:t>kodliv</w:t>
      </w:r>
      <w:r w:rsidR="003E7DBC" w:rsidRPr="003E7DBC">
        <w:rPr>
          <w:rFonts w:hint="cs"/>
        </w:rPr>
        <w:t>ý</w:t>
      </w:r>
      <w:r w:rsidR="003E7DBC" w:rsidRPr="003E7DBC">
        <w:t xml:space="preserve">mi </w:t>
      </w:r>
      <w:r w:rsidR="003E7DBC" w:rsidRPr="003E7DBC">
        <w:rPr>
          <w:rFonts w:hint="cs"/>
        </w:rPr>
        <w:t>úč</w:t>
      </w:r>
      <w:r w:rsidR="003E7DBC" w:rsidRPr="003E7DBC">
        <w:t>inky n</w:t>
      </w:r>
      <w:r w:rsidR="003E7DBC" w:rsidRPr="003E7DBC">
        <w:rPr>
          <w:rFonts w:hint="cs"/>
        </w:rPr>
        <w:t>á</w:t>
      </w:r>
      <w:r w:rsidR="003E7DBC" w:rsidRPr="003E7DBC">
        <w:t>vykov</w:t>
      </w:r>
      <w:r w:rsidR="003E7DBC" w:rsidRPr="003E7DBC">
        <w:rPr>
          <w:rFonts w:hint="cs"/>
        </w:rPr>
        <w:t>ý</w:t>
      </w:r>
      <w:r w:rsidR="003E7DBC" w:rsidRPr="003E7DBC">
        <w:t>ch l</w:t>
      </w:r>
      <w:r w:rsidR="003E7DBC" w:rsidRPr="003E7DBC">
        <w:rPr>
          <w:rFonts w:hint="cs"/>
        </w:rPr>
        <w:t>á</w:t>
      </w:r>
      <w:r w:rsidR="003E7DBC" w:rsidRPr="003E7DBC">
        <w:t>tek, ve zn</w:t>
      </w:r>
      <w:r w:rsidR="003E7DBC" w:rsidRPr="003E7DBC">
        <w:rPr>
          <w:rFonts w:hint="cs"/>
        </w:rPr>
        <w:t>ě</w:t>
      </w:r>
      <w:r w:rsidR="003E7DBC" w:rsidRPr="003E7DBC">
        <w:t>n</w:t>
      </w:r>
      <w:r w:rsidR="003E7DBC" w:rsidRPr="003E7DBC">
        <w:rPr>
          <w:rFonts w:hint="cs"/>
        </w:rPr>
        <w:t>í</w:t>
      </w:r>
      <w:r w:rsidR="003E7DBC" w:rsidRPr="003E7DBC">
        <w:t xml:space="preserve"> pozd</w:t>
      </w:r>
      <w:r w:rsidR="003E7DBC" w:rsidRPr="003E7DBC">
        <w:rPr>
          <w:rFonts w:hint="cs"/>
        </w:rPr>
        <w:t>ě</w:t>
      </w:r>
      <w:r w:rsidR="003E7DBC" w:rsidRPr="003E7DBC">
        <w:t>j</w:t>
      </w:r>
      <w:r w:rsidR="003E7DBC" w:rsidRPr="003E7DBC">
        <w:rPr>
          <w:rFonts w:hint="cs"/>
        </w:rPr>
        <w:t>ší</w:t>
      </w:r>
      <w:r w:rsidR="003E7DBC" w:rsidRPr="003E7DBC">
        <w:t>ch p</w:t>
      </w:r>
      <w:r w:rsidR="003E7DBC" w:rsidRPr="003E7DBC">
        <w:rPr>
          <w:rFonts w:hint="cs"/>
        </w:rPr>
        <w:t>ř</w:t>
      </w:r>
      <w:r w:rsidR="003E7DBC" w:rsidRPr="003E7DBC">
        <w:t>edpis</w:t>
      </w:r>
      <w:r w:rsidR="003E7DBC" w:rsidRPr="003E7DBC">
        <w:rPr>
          <w:rFonts w:hint="cs"/>
        </w:rPr>
        <w:t>ů</w:t>
      </w:r>
      <w:r w:rsidR="003E7DBC" w:rsidRPr="003E7DBC">
        <w:t>,</w:t>
      </w:r>
      <w:r w:rsidR="003E7DBC">
        <w:t xml:space="preserve"> </w:t>
      </w:r>
      <w:r>
        <w:t>a v souladu s § 10 písm. d) a § 84 odst. 2 písm. h) zákona č. 128/2000 Sb., o obcích (obecní zřízení), ve znění pozdějších předpisů, tuto obecně závaznou vyhlášku (dále jen „vyhláška“):</w:t>
      </w:r>
    </w:p>
    <w:p w14:paraId="0839D3DB" w14:textId="77777777" w:rsidR="001A037B" w:rsidRDefault="00000000">
      <w:pPr>
        <w:pStyle w:val="Nadpis2"/>
      </w:pPr>
      <w:r>
        <w:t>Čl. 1</w:t>
      </w:r>
      <w:r>
        <w:br/>
        <w:t>Úvodní ustanovení</w:t>
      </w:r>
    </w:p>
    <w:p w14:paraId="2D812B83" w14:textId="0C19D911" w:rsidR="001A037B" w:rsidRDefault="007868F2" w:rsidP="007868F2">
      <w:pPr>
        <w:pStyle w:val="Odstavec"/>
      </w:pPr>
      <w:r>
        <w:t>Cílem této vyhlášky je v rámci zabezpečení místních záležitostí veřejného pořádku na území města Hronov vymezit některé plochy veřejného prostranství, na kterých se pro rozpor s dobrými mravy zakazuje konzumovat alkoholické nápoje, a vytvořit tak opatření směřující k zachování veřejného pořádku, ochraně občanů, zejména mravního vývoje dětí a mládeže</w:t>
      </w:r>
      <w:r w:rsidR="00AA47D9">
        <w:t>,</w:t>
      </w:r>
      <w:r>
        <w:t xml:space="preserve"> a vytváření kulturního a estetického vzhledu města.</w:t>
      </w:r>
    </w:p>
    <w:p w14:paraId="718CDFB4" w14:textId="5F1BB24D" w:rsidR="001A037B" w:rsidRDefault="00000000">
      <w:pPr>
        <w:pStyle w:val="Nadpis2"/>
      </w:pPr>
      <w:r>
        <w:t>Čl. 2</w:t>
      </w:r>
      <w:r>
        <w:br/>
      </w:r>
      <w:r w:rsidR="007868F2">
        <w:t>Vymezení pojmů</w:t>
      </w:r>
    </w:p>
    <w:p w14:paraId="446EEE5B" w14:textId="1633C2F2" w:rsidR="001A037B" w:rsidRDefault="007868F2">
      <w:pPr>
        <w:pStyle w:val="Odstavec"/>
        <w:numPr>
          <w:ilvl w:val="0"/>
          <w:numId w:val="2"/>
        </w:numPr>
        <w:ind w:left="567" w:hanging="567"/>
      </w:pPr>
      <w:r w:rsidRPr="003E6505">
        <w:rPr>
          <w:b/>
          <w:bCs/>
        </w:rPr>
        <w:t>Ve</w:t>
      </w:r>
      <w:r w:rsidRPr="003E6505">
        <w:rPr>
          <w:rFonts w:hint="cs"/>
          <w:b/>
          <w:bCs/>
        </w:rPr>
        <w:t>ř</w:t>
      </w:r>
      <w:r w:rsidRPr="003E6505">
        <w:rPr>
          <w:b/>
          <w:bCs/>
        </w:rPr>
        <w:t>ejn</w:t>
      </w:r>
      <w:r w:rsidRPr="003E6505">
        <w:rPr>
          <w:rFonts w:hint="cs"/>
          <w:b/>
          <w:bCs/>
        </w:rPr>
        <w:t>ý</w:t>
      </w:r>
      <w:r w:rsidRPr="003E6505">
        <w:rPr>
          <w:b/>
          <w:bCs/>
        </w:rPr>
        <w:t>m prostranstv</w:t>
      </w:r>
      <w:r w:rsidRPr="003E6505">
        <w:rPr>
          <w:rFonts w:hint="cs"/>
          <w:b/>
          <w:bCs/>
        </w:rPr>
        <w:t>í</w:t>
      </w:r>
      <w:r w:rsidRPr="003E6505">
        <w:rPr>
          <w:b/>
          <w:bCs/>
        </w:rPr>
        <w:t>m</w:t>
      </w:r>
      <w:r w:rsidRPr="007868F2">
        <w:t xml:space="preserve"> jsou v</w:t>
      </w:r>
      <w:r w:rsidRPr="007868F2">
        <w:rPr>
          <w:rFonts w:hint="cs"/>
        </w:rPr>
        <w:t>š</w:t>
      </w:r>
      <w:r w:rsidRPr="007868F2">
        <w:t>echna n</w:t>
      </w:r>
      <w:r w:rsidRPr="007868F2">
        <w:rPr>
          <w:rFonts w:hint="cs"/>
        </w:rPr>
        <w:t>á</w:t>
      </w:r>
      <w:r w:rsidRPr="007868F2">
        <w:t>m</w:t>
      </w:r>
      <w:r w:rsidRPr="007868F2">
        <w:rPr>
          <w:rFonts w:hint="cs"/>
        </w:rPr>
        <w:t>ě</w:t>
      </w:r>
      <w:r w:rsidRPr="007868F2">
        <w:t>st</w:t>
      </w:r>
      <w:r w:rsidRPr="007868F2">
        <w:rPr>
          <w:rFonts w:hint="cs"/>
        </w:rPr>
        <w:t>í</w:t>
      </w:r>
      <w:r w:rsidRPr="007868F2">
        <w:t>, ulice, tr</w:t>
      </w:r>
      <w:r w:rsidRPr="007868F2">
        <w:rPr>
          <w:rFonts w:hint="cs"/>
        </w:rPr>
        <w:t>ž</w:t>
      </w:r>
      <w:r w:rsidRPr="007868F2">
        <w:t>i</w:t>
      </w:r>
      <w:r w:rsidRPr="007868F2">
        <w:rPr>
          <w:rFonts w:hint="cs"/>
        </w:rPr>
        <w:t>š</w:t>
      </w:r>
      <w:r w:rsidRPr="007868F2">
        <w:t>t</w:t>
      </w:r>
      <w:r w:rsidRPr="007868F2">
        <w:rPr>
          <w:rFonts w:hint="cs"/>
        </w:rPr>
        <w:t>ě</w:t>
      </w:r>
      <w:r w:rsidRPr="007868F2">
        <w:t>, chodn</w:t>
      </w:r>
      <w:r w:rsidRPr="007868F2">
        <w:rPr>
          <w:rFonts w:hint="cs"/>
        </w:rPr>
        <w:t>í</w:t>
      </w:r>
      <w:r w:rsidRPr="007868F2">
        <w:t>ky, ve</w:t>
      </w:r>
      <w:r w:rsidRPr="007868F2">
        <w:rPr>
          <w:rFonts w:hint="cs"/>
        </w:rPr>
        <w:t>ř</w:t>
      </w:r>
      <w:r w:rsidRPr="007868F2">
        <w:t>ejn</w:t>
      </w:r>
      <w:r w:rsidRPr="007868F2">
        <w:rPr>
          <w:rFonts w:hint="cs"/>
        </w:rPr>
        <w:t>á</w:t>
      </w:r>
      <w:r w:rsidRPr="007868F2">
        <w:t xml:space="preserve"> zele</w:t>
      </w:r>
      <w:r w:rsidRPr="007868F2">
        <w:rPr>
          <w:rFonts w:hint="cs"/>
        </w:rPr>
        <w:t>ň</w:t>
      </w:r>
      <w:r w:rsidRPr="007868F2">
        <w:t>, parky a dal</w:t>
      </w:r>
      <w:r w:rsidRPr="007868F2">
        <w:rPr>
          <w:rFonts w:hint="cs"/>
        </w:rPr>
        <w:t>ší</w:t>
      </w:r>
      <w:r w:rsidRPr="007868F2">
        <w:t xml:space="preserve"> prostory p</w:t>
      </w:r>
      <w:r w:rsidRPr="007868F2">
        <w:rPr>
          <w:rFonts w:hint="cs"/>
        </w:rPr>
        <w:t>ří</w:t>
      </w:r>
      <w:r w:rsidRPr="007868F2">
        <w:t>stupn</w:t>
      </w:r>
      <w:r w:rsidRPr="007868F2">
        <w:rPr>
          <w:rFonts w:hint="cs"/>
        </w:rPr>
        <w:t>é</w:t>
      </w:r>
      <w:r w:rsidRPr="007868F2">
        <w:t xml:space="preserve"> ka</w:t>
      </w:r>
      <w:r w:rsidRPr="007868F2">
        <w:rPr>
          <w:rFonts w:hint="cs"/>
        </w:rPr>
        <w:t>ž</w:t>
      </w:r>
      <w:r w:rsidRPr="007868F2">
        <w:t>d</w:t>
      </w:r>
      <w:r w:rsidRPr="007868F2">
        <w:rPr>
          <w:rFonts w:hint="cs"/>
        </w:rPr>
        <w:t>é</w:t>
      </w:r>
      <w:r w:rsidRPr="007868F2">
        <w:t>mu bez omezen</w:t>
      </w:r>
      <w:r w:rsidRPr="007868F2">
        <w:rPr>
          <w:rFonts w:hint="cs"/>
        </w:rPr>
        <w:t>í</w:t>
      </w:r>
      <w:r w:rsidRPr="007868F2">
        <w:t>, tedy slou</w:t>
      </w:r>
      <w:r w:rsidRPr="007868F2">
        <w:rPr>
          <w:rFonts w:hint="cs"/>
        </w:rPr>
        <w:t>ží</w:t>
      </w:r>
      <w:r w:rsidRPr="007868F2">
        <w:t>c</w:t>
      </w:r>
      <w:r w:rsidRPr="007868F2">
        <w:rPr>
          <w:rFonts w:hint="cs"/>
        </w:rPr>
        <w:t>í</w:t>
      </w:r>
      <w:r w:rsidRPr="007868F2">
        <w:t xml:space="preserve"> obecn</w:t>
      </w:r>
      <w:r w:rsidRPr="007868F2">
        <w:rPr>
          <w:rFonts w:hint="cs"/>
        </w:rPr>
        <w:t>é</w:t>
      </w:r>
      <w:r w:rsidRPr="007868F2">
        <w:t>mu u</w:t>
      </w:r>
      <w:r w:rsidRPr="007868F2">
        <w:rPr>
          <w:rFonts w:hint="cs"/>
        </w:rPr>
        <w:t>ží</w:t>
      </w:r>
      <w:r w:rsidRPr="007868F2">
        <w:t>v</w:t>
      </w:r>
      <w:r w:rsidRPr="007868F2">
        <w:rPr>
          <w:rFonts w:hint="cs"/>
        </w:rPr>
        <w:t>á</w:t>
      </w:r>
      <w:r w:rsidRPr="007868F2">
        <w:t>n</w:t>
      </w:r>
      <w:r w:rsidRPr="007868F2">
        <w:rPr>
          <w:rFonts w:hint="cs"/>
        </w:rPr>
        <w:t>í</w:t>
      </w:r>
      <w:r w:rsidRPr="007868F2">
        <w:t>, a to bez ohledu na vlastnictv</w:t>
      </w:r>
      <w:r w:rsidRPr="007868F2">
        <w:rPr>
          <w:rFonts w:hint="cs"/>
        </w:rPr>
        <w:t>í</w:t>
      </w:r>
      <w:r w:rsidRPr="007868F2">
        <w:t xml:space="preserve"> k tomuto prostoru</w:t>
      </w:r>
      <w:r w:rsidR="003E6505">
        <w:rPr>
          <w:rStyle w:val="Znakapoznpodarou"/>
        </w:rPr>
        <w:footnoteReference w:id="1"/>
      </w:r>
      <w:r w:rsidR="00AA47D9">
        <w:t>.</w:t>
      </w:r>
    </w:p>
    <w:p w14:paraId="304FCB7D" w14:textId="11A0F1C6" w:rsidR="007868F2" w:rsidRDefault="007868F2">
      <w:pPr>
        <w:pStyle w:val="Odstavec"/>
        <w:numPr>
          <w:ilvl w:val="0"/>
          <w:numId w:val="1"/>
        </w:numPr>
        <w:ind w:left="567" w:hanging="567"/>
      </w:pPr>
      <w:r w:rsidRPr="003E6505">
        <w:rPr>
          <w:b/>
          <w:bCs/>
        </w:rPr>
        <w:t>Alkoholick</w:t>
      </w:r>
      <w:r w:rsidRPr="003E6505">
        <w:rPr>
          <w:rFonts w:hint="cs"/>
          <w:b/>
          <w:bCs/>
        </w:rPr>
        <w:t>ý</w:t>
      </w:r>
      <w:r w:rsidRPr="003E6505">
        <w:rPr>
          <w:b/>
          <w:bCs/>
        </w:rPr>
        <w:t>m n</w:t>
      </w:r>
      <w:r w:rsidRPr="003E6505">
        <w:rPr>
          <w:rFonts w:hint="cs"/>
          <w:b/>
          <w:bCs/>
        </w:rPr>
        <w:t>á</w:t>
      </w:r>
      <w:r w:rsidRPr="003E6505">
        <w:rPr>
          <w:b/>
          <w:bCs/>
        </w:rPr>
        <w:t>pojem</w:t>
      </w:r>
      <w:r w:rsidRPr="007868F2">
        <w:t xml:space="preserve"> se rozum</w:t>
      </w:r>
      <w:r w:rsidRPr="007868F2">
        <w:rPr>
          <w:rFonts w:hint="cs"/>
        </w:rPr>
        <w:t>í</w:t>
      </w:r>
      <w:r w:rsidRPr="007868F2">
        <w:t xml:space="preserve"> n</w:t>
      </w:r>
      <w:r w:rsidRPr="007868F2">
        <w:rPr>
          <w:rFonts w:hint="cs"/>
        </w:rPr>
        <w:t>á</w:t>
      </w:r>
      <w:r w:rsidRPr="007868F2">
        <w:t>poj obsahuj</w:t>
      </w:r>
      <w:r w:rsidRPr="007868F2">
        <w:rPr>
          <w:rFonts w:hint="cs"/>
        </w:rPr>
        <w:t>í</w:t>
      </w:r>
      <w:r w:rsidRPr="007868F2">
        <w:t>c</w:t>
      </w:r>
      <w:r w:rsidRPr="007868F2">
        <w:rPr>
          <w:rFonts w:hint="cs"/>
        </w:rPr>
        <w:t>í</w:t>
      </w:r>
      <w:r w:rsidRPr="007868F2">
        <w:t xml:space="preserve"> v</w:t>
      </w:r>
      <w:r w:rsidRPr="007868F2">
        <w:rPr>
          <w:rFonts w:hint="cs"/>
        </w:rPr>
        <w:t>í</w:t>
      </w:r>
      <w:r w:rsidRPr="007868F2">
        <w:t>ce ne</w:t>
      </w:r>
      <w:r w:rsidRPr="007868F2">
        <w:rPr>
          <w:rFonts w:hint="cs"/>
        </w:rPr>
        <w:t>ž</w:t>
      </w:r>
      <w:r w:rsidRPr="007868F2">
        <w:t xml:space="preserve"> 0,5 % objemov</w:t>
      </w:r>
      <w:r w:rsidRPr="007868F2">
        <w:rPr>
          <w:rFonts w:hint="cs"/>
        </w:rPr>
        <w:t>ý</w:t>
      </w:r>
      <w:r w:rsidRPr="007868F2">
        <w:t>ch ethanolu</w:t>
      </w:r>
      <w:r w:rsidR="003E6505">
        <w:rPr>
          <w:rStyle w:val="Znakapoznpodarou"/>
        </w:rPr>
        <w:footnoteReference w:id="2"/>
      </w:r>
      <w:r w:rsidR="003E6505">
        <w:t>.</w:t>
      </w:r>
    </w:p>
    <w:p w14:paraId="63358208" w14:textId="512D388F" w:rsidR="003E6505" w:rsidRDefault="003E6505">
      <w:pPr>
        <w:pStyle w:val="Odstavec"/>
        <w:numPr>
          <w:ilvl w:val="0"/>
          <w:numId w:val="1"/>
        </w:numPr>
        <w:ind w:left="567" w:hanging="567"/>
      </w:pPr>
      <w:r>
        <w:rPr>
          <w:b/>
          <w:bCs/>
        </w:rPr>
        <w:t xml:space="preserve">Konzumací alkoholických nápojů </w:t>
      </w:r>
      <w:r>
        <w:t>se rozumí požívání alkoholického nápoje nebo zdržování se s otevřenou lahví anebo jinou nádobou s alkoholickým nápojem na veřejném prostranství.</w:t>
      </w:r>
    </w:p>
    <w:p w14:paraId="2E99CDEF" w14:textId="32C7B36B" w:rsidR="001A037B" w:rsidRDefault="00000000">
      <w:pPr>
        <w:pStyle w:val="Nadpis2"/>
      </w:pPr>
      <w:r>
        <w:t>Čl. 3</w:t>
      </w:r>
      <w:r>
        <w:br/>
      </w:r>
      <w:r w:rsidR="003E6505">
        <w:t>Zákaz konzumace alkoholických nápojů na některých veřejných prostranstvích</w:t>
      </w:r>
    </w:p>
    <w:p w14:paraId="5D7E26E2" w14:textId="4E9F0B4B" w:rsidR="001A037B" w:rsidRDefault="003E6505">
      <w:pPr>
        <w:pStyle w:val="Odstavec"/>
        <w:numPr>
          <w:ilvl w:val="0"/>
          <w:numId w:val="3"/>
        </w:numPr>
        <w:ind w:left="567" w:hanging="567"/>
      </w:pPr>
      <w:r>
        <w:t>Konzumace alkoholických nápojů je zakázána na veřejných prostranstvích vymezených v příloze č. 1 této vyhlášky,</w:t>
      </w:r>
    </w:p>
    <w:p w14:paraId="628C4C67" w14:textId="11010EC6" w:rsidR="003E6505" w:rsidRDefault="003E6505">
      <w:pPr>
        <w:pStyle w:val="Odstavec"/>
        <w:numPr>
          <w:ilvl w:val="0"/>
          <w:numId w:val="3"/>
        </w:numPr>
        <w:ind w:left="567" w:hanging="567"/>
      </w:pPr>
      <w:r>
        <w:t>Konzumace alkoholických nápojů je zakázána na zastávkách</w:t>
      </w:r>
      <w:r>
        <w:rPr>
          <w:rStyle w:val="Znakapoznpodarou"/>
        </w:rPr>
        <w:footnoteReference w:id="3"/>
      </w:r>
      <w:r>
        <w:t xml:space="preserve"> veřejné linkové dopravy a v okruhu 100 metrů od nich,</w:t>
      </w:r>
    </w:p>
    <w:p w14:paraId="06D96F3A" w14:textId="007AAAF0" w:rsidR="003E6505" w:rsidRDefault="003E6505">
      <w:pPr>
        <w:pStyle w:val="Odstavec"/>
        <w:numPr>
          <w:ilvl w:val="0"/>
          <w:numId w:val="3"/>
        </w:numPr>
        <w:ind w:left="567" w:hanging="567"/>
      </w:pPr>
      <w:r w:rsidRPr="00B0733D">
        <w:lastRenderedPageBreak/>
        <w:t>Konzumace alkoholických nápojů je zakázána na veřejných prostranstvích, která se nacházejí</w:t>
      </w:r>
      <w:r>
        <w:t xml:space="preserve"> v okruhu do 100 metrů od budov škol a školských zařízení</w:t>
      </w:r>
      <w:r>
        <w:rPr>
          <w:rStyle w:val="Znakapoznpodarou"/>
        </w:rPr>
        <w:footnoteReference w:id="4"/>
      </w:r>
      <w:r w:rsidR="00C71B81">
        <w:t>, zdravotn</w:t>
      </w:r>
      <w:r w:rsidR="00AA47D9">
        <w:t>ických</w:t>
      </w:r>
      <w:r w:rsidR="00C71B81">
        <w:t xml:space="preserve"> zařízení</w:t>
      </w:r>
      <w:r w:rsidR="00C71B81">
        <w:rPr>
          <w:rStyle w:val="Znakapoznpodarou"/>
        </w:rPr>
        <w:footnoteReference w:id="5"/>
      </w:r>
      <w:r w:rsidR="00C71B81">
        <w:t xml:space="preserve"> a zařízení sociálních služeb</w:t>
      </w:r>
      <w:r w:rsidR="00C71B81">
        <w:rPr>
          <w:rStyle w:val="Znakapoznpodarou"/>
        </w:rPr>
        <w:footnoteReference w:id="6"/>
      </w:r>
      <w:r w:rsidR="001F4595">
        <w:t>,</w:t>
      </w:r>
    </w:p>
    <w:p w14:paraId="7FA8D34E" w14:textId="6FFB896D" w:rsidR="001F4595" w:rsidRPr="00B0733D" w:rsidRDefault="001F4595">
      <w:pPr>
        <w:pStyle w:val="Odstavec"/>
        <w:numPr>
          <w:ilvl w:val="0"/>
          <w:numId w:val="3"/>
        </w:numPr>
        <w:ind w:left="567" w:hanging="567"/>
      </w:pPr>
      <w:r>
        <w:t>Konzumace alkoholických nápojů je zakázána na všech dětských hřištích a veřejnosti přístupných sportovištích a v okruhu 50 m od nic</w:t>
      </w:r>
      <w:r w:rsidR="005C28E9">
        <w:t xml:space="preserve">h, </w:t>
      </w:r>
      <w:r w:rsidR="005C28E9" w:rsidRPr="00B0733D">
        <w:t>s výjimkou případů uvedených v čl. 4 písm. c).</w:t>
      </w:r>
    </w:p>
    <w:p w14:paraId="51DCD8A6" w14:textId="7206EDEC" w:rsidR="001A037B" w:rsidRDefault="00000000">
      <w:pPr>
        <w:pStyle w:val="Nadpis2"/>
      </w:pPr>
      <w:r>
        <w:t>Čl. 4</w:t>
      </w:r>
      <w:r>
        <w:br/>
      </w:r>
      <w:r w:rsidR="00C71B81">
        <w:t>Veřejná prostranství a akce, na něž se zákaz nevztahuje</w:t>
      </w:r>
    </w:p>
    <w:p w14:paraId="207036A4" w14:textId="59CE1941" w:rsidR="001A037B" w:rsidRDefault="00C71B81">
      <w:pPr>
        <w:pStyle w:val="Odstavec"/>
      </w:pPr>
      <w:r>
        <w:t>Zákaz konzumace alkoholických nápojů na veřejném prostranství se nevztahuje na:</w:t>
      </w:r>
    </w:p>
    <w:p w14:paraId="226D8880" w14:textId="140C5B4C" w:rsidR="00C71B81" w:rsidRDefault="00C71B81" w:rsidP="00C71B81">
      <w:pPr>
        <w:pStyle w:val="Odstavec"/>
        <w:numPr>
          <w:ilvl w:val="1"/>
          <w:numId w:val="3"/>
        </w:numPr>
      </w:pPr>
      <w:r>
        <w:t>dny 1. ledna</w:t>
      </w:r>
      <w:r w:rsidR="001F4595">
        <w:t xml:space="preserve"> a </w:t>
      </w:r>
      <w:r w:rsidR="003D2D46">
        <w:t xml:space="preserve">31. prosince, </w:t>
      </w:r>
      <w:r>
        <w:t>příslušného kalendářního roku,</w:t>
      </w:r>
    </w:p>
    <w:p w14:paraId="799F0BAF" w14:textId="5CFBD6E8" w:rsidR="00C71B81" w:rsidRDefault="00C71B81" w:rsidP="00C71B81">
      <w:pPr>
        <w:pStyle w:val="Odstavec"/>
        <w:numPr>
          <w:ilvl w:val="1"/>
          <w:numId w:val="3"/>
        </w:numPr>
      </w:pPr>
      <w:r>
        <w:t>restaurační zahrádky a předzahrádky, které jsou součástí provozoven, kde je v rámci jejich provozní doby provozována hostinská činnost</w:t>
      </w:r>
      <w:r>
        <w:rPr>
          <w:rStyle w:val="Znakapoznpodarou"/>
        </w:rPr>
        <w:footnoteReference w:id="7"/>
      </w:r>
      <w:r>
        <w:t>,</w:t>
      </w:r>
    </w:p>
    <w:p w14:paraId="4FC246CE" w14:textId="21D0EF87" w:rsidR="00C71B81" w:rsidRDefault="001F4595" w:rsidP="00C71B81">
      <w:pPr>
        <w:pStyle w:val="Odstavec"/>
        <w:numPr>
          <w:ilvl w:val="1"/>
          <w:numId w:val="3"/>
        </w:numPr>
      </w:pPr>
      <w:r>
        <w:t>míst</w:t>
      </w:r>
      <w:r w:rsidR="005C28E9">
        <w:t>a a</w:t>
      </w:r>
      <w:r>
        <w:t xml:space="preserve"> dob</w:t>
      </w:r>
      <w:r w:rsidR="005C28E9">
        <w:t xml:space="preserve">u </w:t>
      </w:r>
      <w:r>
        <w:t>konání kulturní</w:t>
      </w:r>
      <w:r w:rsidR="005C28E9">
        <w:t>ch</w:t>
      </w:r>
      <w:r>
        <w:t>, sportovní</w:t>
      </w:r>
      <w:r w:rsidR="005C28E9">
        <w:t>ch</w:t>
      </w:r>
      <w:r>
        <w:t xml:space="preserve"> nebo jin</w:t>
      </w:r>
      <w:r w:rsidR="005C28E9">
        <w:t>ých</w:t>
      </w:r>
      <w:r>
        <w:t xml:space="preserve"> společensk</w:t>
      </w:r>
      <w:r w:rsidR="005C28E9">
        <w:t>ých</w:t>
      </w:r>
      <w:r>
        <w:t xml:space="preserve"> akc</w:t>
      </w:r>
      <w:r w:rsidR="005C28E9">
        <w:t>í</w:t>
      </w:r>
      <w:r>
        <w:t xml:space="preserve"> přístupn</w:t>
      </w:r>
      <w:r w:rsidR="005C28E9">
        <w:t>ých</w:t>
      </w:r>
      <w:r>
        <w:t xml:space="preserve"> veřejnosti, </w:t>
      </w:r>
      <w:r w:rsidR="00C71B81">
        <w:t xml:space="preserve"> </w:t>
      </w:r>
    </w:p>
    <w:p w14:paraId="75CB30AD" w14:textId="476DEBF7" w:rsidR="00C71B81" w:rsidRDefault="00C71B81" w:rsidP="00C71B81">
      <w:pPr>
        <w:pStyle w:val="Odstavec"/>
        <w:numPr>
          <w:ilvl w:val="1"/>
          <w:numId w:val="3"/>
        </w:numPr>
      </w:pPr>
      <w:r>
        <w:t xml:space="preserve">prostory bezprostředně přiléhající (okruh do 5 m) k prodejním stánkům s občerstvením, kde je povolen prodej alkoholických nápojů zvláštním předpisem, a to po dobu jejich provozu. </w:t>
      </w:r>
    </w:p>
    <w:p w14:paraId="2810A6B8" w14:textId="5326BEDE" w:rsidR="001A037B" w:rsidRDefault="00000000">
      <w:pPr>
        <w:pStyle w:val="Nadpis2"/>
      </w:pPr>
      <w:r>
        <w:t xml:space="preserve">Čl. </w:t>
      </w:r>
      <w:r w:rsidR="00F720FC">
        <w:t>5</w:t>
      </w:r>
      <w:r>
        <w:br/>
        <w:t xml:space="preserve"> </w:t>
      </w:r>
      <w:r w:rsidR="007868F2">
        <w:t>Z</w:t>
      </w:r>
      <w:r>
        <w:t>rušovací ustanovení</w:t>
      </w:r>
    </w:p>
    <w:p w14:paraId="19DC059F" w14:textId="7CD3AD7E" w:rsidR="007868F2" w:rsidRDefault="00AA47D9" w:rsidP="00AA47D9">
      <w:pPr>
        <w:pStyle w:val="Odstavec"/>
      </w:pPr>
      <w:r>
        <w:t>Zrušuje</w:t>
      </w:r>
      <w:r w:rsidR="007868F2">
        <w:t xml:space="preserve"> se obecně závazná vyhláška č. 1/2018, </w:t>
      </w:r>
      <w:r w:rsidR="007868F2" w:rsidRPr="00D34106">
        <w:t>kterou se zakazuje konzumace alkoholických nápojů na vymezených veřejných prostranstvích</w:t>
      </w:r>
      <w:r w:rsidR="007868F2">
        <w:t xml:space="preserve">, ze dne </w:t>
      </w:r>
      <w:r w:rsidR="00DB0322">
        <w:t>18</w:t>
      </w:r>
      <w:r w:rsidR="007868F2">
        <w:t>. 4. 2018.</w:t>
      </w:r>
    </w:p>
    <w:p w14:paraId="5BA81A49" w14:textId="797B7BC7" w:rsidR="001A037B" w:rsidRDefault="00000000">
      <w:pPr>
        <w:pStyle w:val="Nadpis2"/>
      </w:pPr>
      <w:r>
        <w:t xml:space="preserve">Čl. </w:t>
      </w:r>
      <w:r w:rsidR="00F720FC">
        <w:t>6</w:t>
      </w:r>
      <w:r>
        <w:br/>
        <w:t>Účinnost</w:t>
      </w:r>
    </w:p>
    <w:p w14:paraId="5B0550E3" w14:textId="113CEC0F" w:rsidR="001A037B" w:rsidRDefault="00000000">
      <w:pPr>
        <w:pStyle w:val="Odstavec"/>
      </w:pPr>
      <w:r>
        <w:t xml:space="preserve">Tato vyhláška nabývá účinnosti </w:t>
      </w:r>
      <w:r w:rsidR="007868F2" w:rsidRPr="007868F2">
        <w:t>po</w:t>
      </w:r>
      <w:r w:rsidR="007868F2" w:rsidRPr="007868F2">
        <w:rPr>
          <w:rFonts w:hint="cs"/>
        </w:rPr>
        <w:t>čá</w:t>
      </w:r>
      <w:r w:rsidR="007868F2" w:rsidRPr="007868F2">
        <w:t>tkem patn</w:t>
      </w:r>
      <w:r w:rsidR="007868F2" w:rsidRPr="007868F2">
        <w:rPr>
          <w:rFonts w:hint="cs"/>
        </w:rPr>
        <w:t>á</w:t>
      </w:r>
      <w:r w:rsidR="007868F2" w:rsidRPr="007868F2">
        <w:t>ct</w:t>
      </w:r>
      <w:r w:rsidR="007868F2" w:rsidRPr="007868F2">
        <w:rPr>
          <w:rFonts w:hint="cs"/>
        </w:rPr>
        <w:t>é</w:t>
      </w:r>
      <w:r w:rsidR="007868F2" w:rsidRPr="007868F2">
        <w:t>ho dne n</w:t>
      </w:r>
      <w:r w:rsidR="007868F2" w:rsidRPr="007868F2">
        <w:rPr>
          <w:rFonts w:hint="cs"/>
        </w:rPr>
        <w:t>á</w:t>
      </w:r>
      <w:r w:rsidR="007868F2" w:rsidRPr="007868F2">
        <w:t>sleduj</w:t>
      </w:r>
      <w:r w:rsidR="007868F2" w:rsidRPr="007868F2">
        <w:rPr>
          <w:rFonts w:hint="cs"/>
        </w:rPr>
        <w:t>í</w:t>
      </w:r>
      <w:r w:rsidR="007868F2" w:rsidRPr="007868F2">
        <w:t>c</w:t>
      </w:r>
      <w:r w:rsidR="007868F2" w:rsidRPr="007868F2">
        <w:rPr>
          <w:rFonts w:hint="cs"/>
        </w:rPr>
        <w:t>í</w:t>
      </w:r>
      <w:r w:rsidR="007868F2" w:rsidRPr="007868F2">
        <w:t>ho po dni jej</w:t>
      </w:r>
      <w:r w:rsidR="007868F2" w:rsidRPr="007868F2">
        <w:rPr>
          <w:rFonts w:hint="cs"/>
        </w:rPr>
        <w:t>í</w:t>
      </w:r>
      <w:r w:rsidR="007868F2" w:rsidRPr="007868F2">
        <w:t>ho vyhl</w:t>
      </w:r>
      <w:r w:rsidR="007868F2" w:rsidRPr="007868F2">
        <w:rPr>
          <w:rFonts w:hint="cs"/>
        </w:rPr>
        <w:t>áš</w:t>
      </w:r>
      <w:r w:rsidR="007868F2" w:rsidRPr="007868F2">
        <w:t>en</w:t>
      </w:r>
      <w:r w:rsidR="007868F2" w:rsidRPr="007868F2">
        <w:rPr>
          <w:rFonts w:hint="cs"/>
        </w:rPr>
        <w:t>í</w:t>
      </w:r>
      <w:r w:rsidR="007868F2" w:rsidRPr="007868F2">
        <w:t>.</w:t>
      </w:r>
    </w:p>
    <w:p w14:paraId="75FD03A8" w14:textId="77777777" w:rsidR="001A037B" w:rsidRDefault="001A037B">
      <w:pPr>
        <w:pStyle w:val="Odstavec"/>
      </w:pPr>
    </w:p>
    <w:p w14:paraId="06823327" w14:textId="77777777" w:rsidR="001A037B" w:rsidRDefault="001A037B">
      <w:pPr>
        <w:pStyle w:val="Odstavec"/>
      </w:pPr>
    </w:p>
    <w:p w14:paraId="4BF12108" w14:textId="794949E9" w:rsidR="001A037B" w:rsidRDefault="00000000">
      <w:pPr>
        <w:pStyle w:val="Zkladntext"/>
        <w:tabs>
          <w:tab w:val="left" w:pos="720"/>
          <w:tab w:val="left" w:pos="6120"/>
        </w:tabs>
        <w:spacing w:before="0" w:after="0"/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D60CE9">
        <w:rPr>
          <w:rFonts w:ascii="Arial" w:hAnsi="Arial" w:cs="Arial"/>
          <w:iCs/>
          <w:sz w:val="22"/>
          <w:szCs w:val="22"/>
        </w:rPr>
        <w:t xml:space="preserve">          Petr Koleta</w:t>
      </w:r>
      <w:r>
        <w:rPr>
          <w:rFonts w:ascii="Arial" w:hAnsi="Arial" w:cs="Arial"/>
          <w:iCs/>
          <w:sz w:val="22"/>
          <w:szCs w:val="22"/>
        </w:rPr>
        <w:t xml:space="preserve"> v. r.</w:t>
      </w:r>
      <w:r w:rsidR="00D60CE9">
        <w:rPr>
          <w:rFonts w:ascii="Arial" w:hAnsi="Arial" w:cs="Arial"/>
          <w:iCs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</w:t>
      </w:r>
      <w:r w:rsidR="00D60CE9">
        <w:rPr>
          <w:rFonts w:ascii="Arial" w:hAnsi="Arial" w:cs="Arial"/>
          <w:iCs/>
          <w:sz w:val="22"/>
          <w:szCs w:val="22"/>
        </w:rPr>
        <w:t>Mgr. Věra Bartošová</w:t>
      </w:r>
      <w:r>
        <w:rPr>
          <w:rFonts w:ascii="Arial" w:hAnsi="Arial" w:cs="Arial"/>
          <w:iCs/>
          <w:sz w:val="22"/>
          <w:szCs w:val="22"/>
        </w:rPr>
        <w:t xml:space="preserve"> v. r.</w:t>
      </w:r>
    </w:p>
    <w:p w14:paraId="7C8CFCC8" w14:textId="066D48FD" w:rsidR="001A037B" w:rsidRDefault="00000000">
      <w:pPr>
        <w:pStyle w:val="Zkladntext"/>
        <w:tabs>
          <w:tab w:val="left" w:pos="1080"/>
          <w:tab w:val="left" w:pos="6804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       </w:t>
      </w:r>
      <w:r w:rsidR="00D60CE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   </w:t>
      </w:r>
      <w:r w:rsidR="00D60CE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  <w:r w:rsidR="00D60CE9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D60CE9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="00D60CE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bookmarkEnd w:id="0"/>
    <w:p w14:paraId="47CA6C6F" w14:textId="77777777" w:rsidR="001A037B" w:rsidRDefault="001A037B"/>
    <w:sectPr w:rsidR="001A037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2706" w14:textId="77777777" w:rsidR="00B36A6F" w:rsidRDefault="00B36A6F">
      <w:r>
        <w:separator/>
      </w:r>
    </w:p>
  </w:endnote>
  <w:endnote w:type="continuationSeparator" w:id="0">
    <w:p w14:paraId="117832C3" w14:textId="77777777" w:rsidR="00B36A6F" w:rsidRDefault="00B3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3543" w14:textId="77777777" w:rsidR="00B36A6F" w:rsidRDefault="00B36A6F">
      <w:r>
        <w:rPr>
          <w:color w:val="000000"/>
        </w:rPr>
        <w:separator/>
      </w:r>
    </w:p>
  </w:footnote>
  <w:footnote w:type="continuationSeparator" w:id="0">
    <w:p w14:paraId="68081B27" w14:textId="77777777" w:rsidR="00B36A6F" w:rsidRDefault="00B36A6F">
      <w:r>
        <w:continuationSeparator/>
      </w:r>
    </w:p>
  </w:footnote>
  <w:footnote w:id="1">
    <w:p w14:paraId="57717F57" w14:textId="61E0510F" w:rsidR="003E6505" w:rsidRDefault="003E65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E6505">
        <w:t>Ustanoven</w:t>
      </w:r>
      <w:r w:rsidRPr="003E6505">
        <w:rPr>
          <w:rFonts w:hint="cs"/>
        </w:rPr>
        <w:t>í</w:t>
      </w:r>
      <w:r w:rsidRPr="003E6505">
        <w:t xml:space="preserve"> </w:t>
      </w:r>
      <w:r w:rsidRPr="003E6505">
        <w:rPr>
          <w:rFonts w:hint="cs"/>
        </w:rPr>
        <w:t>§</w:t>
      </w:r>
      <w:r w:rsidRPr="003E6505">
        <w:t xml:space="preserve"> 34 z</w:t>
      </w:r>
      <w:r w:rsidRPr="003E6505">
        <w:rPr>
          <w:rFonts w:hint="cs"/>
        </w:rPr>
        <w:t>á</w:t>
      </w:r>
      <w:r w:rsidRPr="003E6505">
        <w:t xml:space="preserve">kona </w:t>
      </w:r>
      <w:r w:rsidRPr="003E6505">
        <w:rPr>
          <w:rFonts w:hint="cs"/>
        </w:rPr>
        <w:t>č</w:t>
      </w:r>
      <w:r w:rsidRPr="003E6505">
        <w:t>. 128/2000 Sb., obc</w:t>
      </w:r>
      <w:r w:rsidRPr="003E6505">
        <w:rPr>
          <w:rFonts w:hint="cs"/>
        </w:rPr>
        <w:t>í</w:t>
      </w:r>
      <w:r w:rsidRPr="003E6505">
        <w:t>ch (obecn</w:t>
      </w:r>
      <w:r w:rsidRPr="003E6505">
        <w:rPr>
          <w:rFonts w:hint="cs"/>
        </w:rPr>
        <w:t>í</w:t>
      </w:r>
      <w:r w:rsidRPr="003E6505">
        <w:t xml:space="preserve"> z</w:t>
      </w:r>
      <w:r w:rsidRPr="003E6505">
        <w:rPr>
          <w:rFonts w:hint="cs"/>
        </w:rPr>
        <w:t>ří</w:t>
      </w:r>
      <w:r w:rsidRPr="003E6505">
        <w:t>zen</w:t>
      </w:r>
      <w:r w:rsidRPr="003E6505">
        <w:rPr>
          <w:rFonts w:hint="cs"/>
        </w:rPr>
        <w:t>í</w:t>
      </w:r>
      <w:r w:rsidRPr="003E6505">
        <w:t>), ve zn</w:t>
      </w:r>
      <w:r w:rsidRPr="003E6505">
        <w:rPr>
          <w:rFonts w:hint="cs"/>
        </w:rPr>
        <w:t>ě</w:t>
      </w:r>
      <w:r w:rsidRPr="003E6505">
        <w:t>n</w:t>
      </w:r>
      <w:r w:rsidRPr="003E6505">
        <w:rPr>
          <w:rFonts w:hint="cs"/>
        </w:rPr>
        <w:t>í</w:t>
      </w:r>
      <w:r w:rsidRPr="003E6505">
        <w:t xml:space="preserve"> pozd</w:t>
      </w:r>
      <w:r w:rsidRPr="003E6505">
        <w:rPr>
          <w:rFonts w:hint="cs"/>
        </w:rPr>
        <w:t>ě</w:t>
      </w:r>
      <w:r w:rsidRPr="003E6505">
        <w:t>j</w:t>
      </w:r>
      <w:r w:rsidRPr="003E6505">
        <w:rPr>
          <w:rFonts w:hint="cs"/>
        </w:rPr>
        <w:t>ší</w:t>
      </w:r>
      <w:r w:rsidRPr="003E6505">
        <w:t>ch p</w:t>
      </w:r>
      <w:r w:rsidRPr="003E6505">
        <w:rPr>
          <w:rFonts w:hint="cs"/>
        </w:rPr>
        <w:t>ř</w:t>
      </w:r>
      <w:r w:rsidRPr="003E6505">
        <w:t>edpis</w:t>
      </w:r>
      <w:r w:rsidRPr="003E6505">
        <w:rPr>
          <w:rFonts w:hint="cs"/>
        </w:rPr>
        <w:t>ů</w:t>
      </w:r>
      <w:r w:rsidRPr="003E6505">
        <w:t>.</w:t>
      </w:r>
    </w:p>
  </w:footnote>
  <w:footnote w:id="2">
    <w:p w14:paraId="6667ED01" w14:textId="189AA542" w:rsidR="003E6505" w:rsidRDefault="003E65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E6505">
        <w:t>Ustanoven</w:t>
      </w:r>
      <w:r w:rsidRPr="003E6505">
        <w:rPr>
          <w:rFonts w:hint="cs"/>
        </w:rPr>
        <w:t>í</w:t>
      </w:r>
      <w:r w:rsidRPr="003E6505">
        <w:t xml:space="preserve"> </w:t>
      </w:r>
      <w:r w:rsidRPr="003E6505">
        <w:rPr>
          <w:rFonts w:hint="cs"/>
        </w:rPr>
        <w:t>§</w:t>
      </w:r>
      <w:r w:rsidRPr="003E6505">
        <w:t xml:space="preserve"> 2 p</w:t>
      </w:r>
      <w:r w:rsidRPr="003E6505">
        <w:rPr>
          <w:rFonts w:hint="cs"/>
        </w:rPr>
        <w:t>í</w:t>
      </w:r>
      <w:r w:rsidRPr="003E6505">
        <w:t>sm. f) z</w:t>
      </w:r>
      <w:r w:rsidRPr="003E6505">
        <w:rPr>
          <w:rFonts w:hint="cs"/>
        </w:rPr>
        <w:t>á</w:t>
      </w:r>
      <w:r w:rsidRPr="003E6505">
        <w:t xml:space="preserve">kona </w:t>
      </w:r>
      <w:r w:rsidRPr="003E6505">
        <w:rPr>
          <w:rFonts w:hint="cs"/>
        </w:rPr>
        <w:t>č</w:t>
      </w:r>
      <w:r w:rsidRPr="003E6505">
        <w:t xml:space="preserve">. 65/2017 Sb., </w:t>
      </w:r>
      <w:r w:rsidR="001A1757" w:rsidRPr="001A1757">
        <w:t>o ochran</w:t>
      </w:r>
      <w:r w:rsidR="001A1757" w:rsidRPr="001A1757">
        <w:rPr>
          <w:rFonts w:hint="cs"/>
        </w:rPr>
        <w:t>ě</w:t>
      </w:r>
      <w:r w:rsidR="001A1757" w:rsidRPr="001A1757">
        <w:t xml:space="preserve"> zdrav</w:t>
      </w:r>
      <w:r w:rsidR="001A1757" w:rsidRPr="001A1757">
        <w:rPr>
          <w:rFonts w:hint="cs"/>
        </w:rPr>
        <w:t>í</w:t>
      </w:r>
      <w:r w:rsidR="001A1757" w:rsidRPr="001A1757">
        <w:t xml:space="preserve"> p</w:t>
      </w:r>
      <w:r w:rsidR="001A1757" w:rsidRPr="001A1757">
        <w:rPr>
          <w:rFonts w:hint="cs"/>
        </w:rPr>
        <w:t>ř</w:t>
      </w:r>
      <w:r w:rsidR="001A1757" w:rsidRPr="001A1757">
        <w:t xml:space="preserve">ed </w:t>
      </w:r>
      <w:r w:rsidR="001A1757" w:rsidRPr="001A1757">
        <w:rPr>
          <w:rFonts w:hint="cs"/>
        </w:rPr>
        <w:t>š</w:t>
      </w:r>
      <w:r w:rsidR="001A1757" w:rsidRPr="001A1757">
        <w:t>kodliv</w:t>
      </w:r>
      <w:r w:rsidR="001A1757" w:rsidRPr="001A1757">
        <w:rPr>
          <w:rFonts w:hint="cs"/>
        </w:rPr>
        <w:t>ý</w:t>
      </w:r>
      <w:r w:rsidR="001A1757" w:rsidRPr="001A1757">
        <w:t xml:space="preserve">mi </w:t>
      </w:r>
      <w:r w:rsidR="001A1757" w:rsidRPr="001A1757">
        <w:rPr>
          <w:rFonts w:hint="cs"/>
        </w:rPr>
        <w:t>úč</w:t>
      </w:r>
      <w:r w:rsidR="001A1757" w:rsidRPr="001A1757">
        <w:t>inky n</w:t>
      </w:r>
      <w:r w:rsidR="001A1757" w:rsidRPr="001A1757">
        <w:rPr>
          <w:rFonts w:hint="cs"/>
        </w:rPr>
        <w:t>á</w:t>
      </w:r>
      <w:r w:rsidR="001A1757" w:rsidRPr="001A1757">
        <w:t>vykov</w:t>
      </w:r>
      <w:r w:rsidR="001A1757" w:rsidRPr="001A1757">
        <w:rPr>
          <w:rFonts w:hint="cs"/>
        </w:rPr>
        <w:t>ý</w:t>
      </w:r>
      <w:r w:rsidR="001A1757" w:rsidRPr="001A1757">
        <w:t>ch l</w:t>
      </w:r>
      <w:r w:rsidR="001A1757" w:rsidRPr="001A1757">
        <w:rPr>
          <w:rFonts w:hint="cs"/>
        </w:rPr>
        <w:t>á</w:t>
      </w:r>
      <w:r w:rsidR="001A1757" w:rsidRPr="001A1757">
        <w:t>tek</w:t>
      </w:r>
      <w:r w:rsidR="001A1757">
        <w:t xml:space="preserve">, </w:t>
      </w:r>
      <w:r w:rsidRPr="003E6505">
        <w:t>ve zn</w:t>
      </w:r>
      <w:r w:rsidRPr="003E6505">
        <w:rPr>
          <w:rFonts w:hint="cs"/>
        </w:rPr>
        <w:t>ě</w:t>
      </w:r>
      <w:r w:rsidRPr="003E6505">
        <w:t>n</w:t>
      </w:r>
      <w:r w:rsidRPr="003E6505">
        <w:rPr>
          <w:rFonts w:hint="cs"/>
        </w:rPr>
        <w:t>í</w:t>
      </w:r>
      <w:r w:rsidRPr="003E6505">
        <w:t xml:space="preserve"> pozd</w:t>
      </w:r>
      <w:r w:rsidRPr="003E6505">
        <w:rPr>
          <w:rFonts w:hint="cs"/>
        </w:rPr>
        <w:t>ě</w:t>
      </w:r>
      <w:r w:rsidRPr="003E6505">
        <w:t>j</w:t>
      </w:r>
      <w:r w:rsidRPr="003E6505">
        <w:rPr>
          <w:rFonts w:hint="cs"/>
        </w:rPr>
        <w:t>ší</w:t>
      </w:r>
      <w:r w:rsidRPr="003E6505">
        <w:t>ch p</w:t>
      </w:r>
      <w:r w:rsidRPr="003E6505">
        <w:rPr>
          <w:rFonts w:hint="cs"/>
        </w:rPr>
        <w:t>ř</w:t>
      </w:r>
      <w:r w:rsidRPr="003E6505">
        <w:t>edpis</w:t>
      </w:r>
      <w:r w:rsidRPr="003E6505">
        <w:rPr>
          <w:rFonts w:hint="cs"/>
        </w:rPr>
        <w:t>ů</w:t>
      </w:r>
      <w:r w:rsidRPr="003E6505">
        <w:t>.</w:t>
      </w:r>
    </w:p>
  </w:footnote>
  <w:footnote w:id="3">
    <w:p w14:paraId="4940CE6D" w14:textId="45E42969" w:rsidR="003E6505" w:rsidRDefault="003E6505">
      <w:pPr>
        <w:pStyle w:val="Textpoznpodarou"/>
      </w:pPr>
      <w:r>
        <w:rPr>
          <w:rStyle w:val="Znakapoznpodarou"/>
        </w:rPr>
        <w:footnoteRef/>
      </w:r>
      <w:r>
        <w:t xml:space="preserve"> Zákon č.111/1994 Sb., o silniční dopravě, ve znění pozdějších předpisů a zákon č. 361/2000 Sb., o provozu na pozemních komunikacích a o změnách některých zákonů, ve znění pozdějších předpisů</w:t>
      </w:r>
    </w:p>
  </w:footnote>
  <w:footnote w:id="4">
    <w:p w14:paraId="587F9489" w14:textId="4B93C6EC" w:rsidR="003E6505" w:rsidRDefault="003E6505">
      <w:pPr>
        <w:pStyle w:val="Textpoznpodarou"/>
      </w:pPr>
      <w:r>
        <w:rPr>
          <w:rStyle w:val="Znakapoznpodarou"/>
        </w:rPr>
        <w:footnoteRef/>
      </w:r>
      <w:r>
        <w:t xml:space="preserve"> Ustanovení §7 zákona č. 561/2004 Sb., </w:t>
      </w:r>
      <w:r w:rsidR="00C71B81" w:rsidRPr="00C71B81">
        <w:t>o p</w:t>
      </w:r>
      <w:r w:rsidR="00C71B81" w:rsidRPr="00C71B81">
        <w:rPr>
          <w:rFonts w:hint="cs"/>
        </w:rPr>
        <w:t>ř</w:t>
      </w:r>
      <w:r w:rsidR="00C71B81" w:rsidRPr="00C71B81">
        <w:t>ed</w:t>
      </w:r>
      <w:r w:rsidR="00C71B81" w:rsidRPr="00C71B81">
        <w:rPr>
          <w:rFonts w:hint="cs"/>
        </w:rPr>
        <w:t>š</w:t>
      </w:r>
      <w:r w:rsidR="00C71B81" w:rsidRPr="00C71B81">
        <w:t>koln</w:t>
      </w:r>
      <w:r w:rsidR="00C71B81" w:rsidRPr="00C71B81">
        <w:rPr>
          <w:rFonts w:hint="cs"/>
        </w:rPr>
        <w:t>í</w:t>
      </w:r>
      <w:r w:rsidR="00C71B81" w:rsidRPr="00C71B81">
        <w:t>m, z</w:t>
      </w:r>
      <w:r w:rsidR="00C71B81" w:rsidRPr="00C71B81">
        <w:rPr>
          <w:rFonts w:hint="cs"/>
        </w:rPr>
        <w:t>á</w:t>
      </w:r>
      <w:r w:rsidR="00C71B81" w:rsidRPr="00C71B81">
        <w:t>kladn</w:t>
      </w:r>
      <w:r w:rsidR="00C71B81" w:rsidRPr="00C71B81">
        <w:rPr>
          <w:rFonts w:hint="cs"/>
        </w:rPr>
        <w:t>í</w:t>
      </w:r>
      <w:r w:rsidR="00C71B81" w:rsidRPr="00C71B81">
        <w:t>m, st</w:t>
      </w:r>
      <w:r w:rsidR="00C71B81" w:rsidRPr="00C71B81">
        <w:rPr>
          <w:rFonts w:hint="cs"/>
        </w:rPr>
        <w:t>ř</w:t>
      </w:r>
      <w:r w:rsidR="00C71B81" w:rsidRPr="00C71B81">
        <w:t>edn</w:t>
      </w:r>
      <w:r w:rsidR="00C71B81" w:rsidRPr="00C71B81">
        <w:rPr>
          <w:rFonts w:hint="cs"/>
        </w:rPr>
        <w:t>í</w:t>
      </w:r>
      <w:r w:rsidR="00C71B81" w:rsidRPr="00C71B81">
        <w:t>m, vy</w:t>
      </w:r>
      <w:r w:rsidR="00C71B81" w:rsidRPr="00C71B81">
        <w:rPr>
          <w:rFonts w:hint="cs"/>
        </w:rPr>
        <w:t>šší</w:t>
      </w:r>
      <w:r w:rsidR="00C71B81" w:rsidRPr="00C71B81">
        <w:t>m odborn</w:t>
      </w:r>
      <w:r w:rsidR="00C71B81" w:rsidRPr="00C71B81">
        <w:rPr>
          <w:rFonts w:hint="cs"/>
        </w:rPr>
        <w:t>é</w:t>
      </w:r>
      <w:r w:rsidR="00C71B81" w:rsidRPr="00C71B81">
        <w:t>m a jin</w:t>
      </w:r>
      <w:r w:rsidR="00C71B81" w:rsidRPr="00C71B81">
        <w:rPr>
          <w:rFonts w:hint="cs"/>
        </w:rPr>
        <w:t>é</w:t>
      </w:r>
      <w:r w:rsidR="00C71B81" w:rsidRPr="00C71B81">
        <w:t>m vzd</w:t>
      </w:r>
      <w:r w:rsidR="00C71B81" w:rsidRPr="00C71B81">
        <w:rPr>
          <w:rFonts w:hint="cs"/>
        </w:rPr>
        <w:t>ě</w:t>
      </w:r>
      <w:r w:rsidR="00C71B81" w:rsidRPr="00C71B81">
        <w:t>l</w:t>
      </w:r>
      <w:r w:rsidR="00C71B81" w:rsidRPr="00C71B81">
        <w:rPr>
          <w:rFonts w:hint="cs"/>
        </w:rPr>
        <w:t>á</w:t>
      </w:r>
      <w:r w:rsidR="00C71B81" w:rsidRPr="00C71B81">
        <w:t>v</w:t>
      </w:r>
      <w:r w:rsidR="00C71B81" w:rsidRPr="00C71B81">
        <w:rPr>
          <w:rFonts w:hint="cs"/>
        </w:rPr>
        <w:t>á</w:t>
      </w:r>
      <w:r w:rsidR="00C71B81" w:rsidRPr="00C71B81">
        <w:t>n</w:t>
      </w:r>
      <w:r w:rsidR="00C71B81" w:rsidRPr="00C71B81">
        <w:rPr>
          <w:rFonts w:hint="cs"/>
        </w:rPr>
        <w:t>í</w:t>
      </w:r>
      <w:r w:rsidR="00C71B81">
        <w:t>, ve znění pozdějších předpisů</w:t>
      </w:r>
    </w:p>
  </w:footnote>
  <w:footnote w:id="5">
    <w:p w14:paraId="164BBB36" w14:textId="4A6FCE69" w:rsidR="00C71B81" w:rsidRDefault="00C71B81">
      <w:pPr>
        <w:pStyle w:val="Textpoznpodarou"/>
      </w:pPr>
      <w:r>
        <w:rPr>
          <w:rStyle w:val="Znakapoznpodarou"/>
        </w:rPr>
        <w:footnoteRef/>
      </w:r>
      <w:r>
        <w:t xml:space="preserve"> Zákon č. 372/2011, o zdravotních službách a podmínkách jejich poskytování, ve znění pozdějších předpisů </w:t>
      </w:r>
    </w:p>
  </w:footnote>
  <w:footnote w:id="6">
    <w:p w14:paraId="609F6D24" w14:textId="641239F4" w:rsidR="00C71B81" w:rsidRDefault="00C71B81">
      <w:pPr>
        <w:pStyle w:val="Textpoznpodarou"/>
      </w:pPr>
      <w:r>
        <w:rPr>
          <w:rStyle w:val="Znakapoznpodarou"/>
        </w:rPr>
        <w:footnoteRef/>
      </w:r>
      <w:r>
        <w:t xml:space="preserve"> Ustanovení § 34 zákona č. 108/2006 Sb., o sociálních službách, ve znění pozdějších předpisů </w:t>
      </w:r>
    </w:p>
  </w:footnote>
  <w:footnote w:id="7">
    <w:p w14:paraId="63074F03" w14:textId="2E70941F" w:rsidR="00C71B81" w:rsidRDefault="00C71B81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podnikání, ve znění pozdějších předpisů a nařízení vlády č. 278/2008 Sb., </w:t>
      </w:r>
      <w:r w:rsidRPr="00C71B81">
        <w:t>o</w:t>
      </w:r>
      <w:r>
        <w:t> </w:t>
      </w:r>
      <w:r w:rsidRPr="00C71B81">
        <w:t>obsahových</w:t>
      </w:r>
      <w:r>
        <w:t xml:space="preserve"> náplních jednotlivých živností,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90"/>
    <w:multiLevelType w:val="multilevel"/>
    <w:tmpl w:val="391A2E2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699503524">
    <w:abstractNumId w:val="0"/>
  </w:num>
  <w:num w:numId="2" w16cid:durableId="864363182">
    <w:abstractNumId w:val="0"/>
    <w:lvlOverride w:ilvl="0">
      <w:startOverride w:val="1"/>
    </w:lvlOverride>
  </w:num>
  <w:num w:numId="3" w16cid:durableId="591475565">
    <w:abstractNumId w:val="0"/>
    <w:lvlOverride w:ilvl="0">
      <w:startOverride w:val="1"/>
    </w:lvlOverride>
  </w:num>
  <w:num w:numId="4" w16cid:durableId="5041765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37B"/>
    <w:rsid w:val="00001102"/>
    <w:rsid w:val="000029DA"/>
    <w:rsid w:val="00043704"/>
    <w:rsid w:val="00046056"/>
    <w:rsid w:val="000D1074"/>
    <w:rsid w:val="000E2BE8"/>
    <w:rsid w:val="001A037B"/>
    <w:rsid w:val="001A1757"/>
    <w:rsid w:val="001F4595"/>
    <w:rsid w:val="00204402"/>
    <w:rsid w:val="0021182B"/>
    <w:rsid w:val="0029567F"/>
    <w:rsid w:val="002A06AC"/>
    <w:rsid w:val="00302F80"/>
    <w:rsid w:val="00376E80"/>
    <w:rsid w:val="003D2D46"/>
    <w:rsid w:val="003E6505"/>
    <w:rsid w:val="003E7DBC"/>
    <w:rsid w:val="004F6A07"/>
    <w:rsid w:val="00545E64"/>
    <w:rsid w:val="005C28E9"/>
    <w:rsid w:val="005D0CA9"/>
    <w:rsid w:val="00684423"/>
    <w:rsid w:val="006B3FE9"/>
    <w:rsid w:val="0071708B"/>
    <w:rsid w:val="007868F2"/>
    <w:rsid w:val="008B5BDF"/>
    <w:rsid w:val="00AA47D9"/>
    <w:rsid w:val="00AF06F9"/>
    <w:rsid w:val="00B0733D"/>
    <w:rsid w:val="00B274AF"/>
    <w:rsid w:val="00B36A6F"/>
    <w:rsid w:val="00C33438"/>
    <w:rsid w:val="00C71B81"/>
    <w:rsid w:val="00C77887"/>
    <w:rsid w:val="00D34106"/>
    <w:rsid w:val="00D60CE9"/>
    <w:rsid w:val="00DA1654"/>
    <w:rsid w:val="00DB0322"/>
    <w:rsid w:val="00F24551"/>
    <w:rsid w:val="00F41709"/>
    <w:rsid w:val="00F7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06FB"/>
  <w15:docId w15:val="{61525516-6677-4F6B-AE0C-98EDB402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pPr>
      <w:suppressAutoHyphens w:val="0"/>
      <w:spacing w:before="120" w:after="120" w:line="312" w:lineRule="auto"/>
      <w:ind w:left="567" w:hanging="567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6505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6505"/>
    <w:rPr>
      <w:rFonts w:cs="Mangal"/>
      <w:sz w:val="20"/>
      <w:szCs w:val="18"/>
    </w:rPr>
  </w:style>
  <w:style w:type="paragraph" w:styleId="Revize">
    <w:name w:val="Revision"/>
    <w:hidden/>
    <w:uiPriority w:val="99"/>
    <w:semiHidden/>
    <w:rsid w:val="001F4595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5318-F9DA-46B2-BACB-5A2B8143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Helena Toldová</cp:lastModifiedBy>
  <cp:revision>2</cp:revision>
  <dcterms:created xsi:type="dcterms:W3CDTF">2025-09-29T05:41:00Z</dcterms:created>
  <dcterms:modified xsi:type="dcterms:W3CDTF">2025-09-29T05:41:00Z</dcterms:modified>
</cp:coreProperties>
</file>