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276"/>
        <w:ind w:left="0" w:right="0" w:hanging="0"/>
        <w:jc w:val="center"/>
        <w:rPr>
          <w:rFonts w:ascii="Calibri" w:hAnsi="Calibri"/>
        </w:rPr>
      </w:pPr>
      <w:r>
        <w:rPr>
          <w:rFonts w:cs="Arial" w:ascii="Calibri" w:hAnsi="Calibri"/>
          <w:b/>
          <w:sz w:val="28"/>
          <w:szCs w:val="28"/>
        </w:rPr>
        <w:t>MĚSTO DOMAŽLICE</w:t>
      </w:r>
    </w:p>
    <w:p>
      <w:pPr>
        <w:pStyle w:val="Normal"/>
        <w:widowControl/>
        <w:suppressAutoHyphens w:val="true"/>
        <w:bidi w:val="0"/>
        <w:spacing w:lineRule="auto" w:line="276"/>
        <w:ind w:left="0" w:right="0" w:hanging="0"/>
        <w:jc w:val="center"/>
        <w:rPr>
          <w:rFonts w:ascii="Calibri" w:hAnsi="Calibri"/>
        </w:rPr>
      </w:pPr>
      <w:r>
        <w:rPr>
          <w:rFonts w:cs="Arial" w:ascii="Calibri" w:hAnsi="Calibri"/>
          <w:b/>
          <w:sz w:val="28"/>
          <w:szCs w:val="28"/>
        </w:rPr>
        <w:t>Zastupitelstvo města Domažlice</w:t>
      </w:r>
    </w:p>
    <w:p>
      <w:pPr>
        <w:pStyle w:val="Normal"/>
        <w:widowControl/>
        <w:suppressAutoHyphens w:val="true"/>
        <w:bidi w:val="0"/>
        <w:spacing w:lineRule="auto" w:line="276"/>
        <w:ind w:left="0" w:right="0" w:hanging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suppressAutoHyphens w:val="true"/>
        <w:bidi w:val="0"/>
        <w:spacing w:lineRule="auto" w:line="276"/>
        <w:ind w:left="0" w:right="0" w:hanging="0"/>
        <w:jc w:val="center"/>
        <w:rPr>
          <w:rFonts w:ascii="Calibri" w:hAnsi="Calibri"/>
        </w:rPr>
      </w:pPr>
      <w:r>
        <w:rPr>
          <w:rFonts w:cs="Arial" w:ascii="Calibri" w:hAnsi="Calibri"/>
          <w:b/>
          <w:sz w:val="28"/>
          <w:szCs w:val="28"/>
        </w:rPr>
        <w:t>Obecně závazná vyhláška města Domažl</w:t>
      </w:r>
      <w:r>
        <w:rPr>
          <w:rFonts w:eastAsia="Times New Roman" w:cs="Arial" w:ascii="Calibri" w:hAnsi="Calibri"/>
          <w:b/>
          <w:color w:val="auto"/>
          <w:kern w:val="0"/>
          <w:sz w:val="28"/>
          <w:szCs w:val="28"/>
          <w:lang w:val="cs-CZ" w:eastAsia="cs-CZ" w:bidi="ar-SA"/>
        </w:rPr>
        <w:t>ice,</w:t>
      </w:r>
    </w:p>
    <w:p>
      <w:pPr>
        <w:pStyle w:val="Odsazentlatextu"/>
        <w:widowControl/>
        <w:suppressAutoHyphens w:val="true"/>
        <w:bidi w:val="0"/>
        <w:spacing w:before="0" w:after="60"/>
        <w:ind w:left="0" w:right="0" w:hanging="0"/>
        <w:jc w:val="center"/>
        <w:rPr>
          <w:rFonts w:ascii="Calibri" w:hAnsi="Calibri" w:cs="Arial"/>
          <w:b/>
          <w:b/>
          <w:sz w:val="28"/>
          <w:szCs w:val="28"/>
        </w:rPr>
      </w:pPr>
      <w:r>
        <w:rPr>
          <w:rFonts w:cs="Arial" w:ascii="Calibri" w:hAnsi="Calibri"/>
          <w:b/>
          <w:sz w:val="28"/>
          <w:szCs w:val="28"/>
        </w:rPr>
        <w:t>kterou se vydává požární řád města</w:t>
      </w:r>
    </w:p>
    <w:p>
      <w:pPr>
        <w:pStyle w:val="Odsazentlatextu"/>
        <w:widowControl/>
        <w:suppressAutoHyphens w:val="true"/>
        <w:bidi w:val="0"/>
        <w:spacing w:before="0" w:after="60"/>
        <w:ind w:left="0" w:right="0" w:hanging="0"/>
        <w:jc w:val="center"/>
        <w:rPr>
          <w:rFonts w:ascii="Calibri" w:hAnsi="Calibri" w:cs="Arial"/>
          <w:b/>
          <w:b/>
          <w:sz w:val="28"/>
          <w:szCs w:val="28"/>
        </w:rPr>
      </w:pPr>
      <w:r>
        <w:rPr>
          <w:rFonts w:cs="Arial" w:ascii="Calibri" w:hAnsi="Calibri"/>
          <w:b/>
          <w:sz w:val="28"/>
          <w:szCs w:val="28"/>
        </w:rPr>
      </w:r>
    </w:p>
    <w:p>
      <w:pPr>
        <w:pStyle w:val="NormalWeb"/>
        <w:spacing w:before="0" w:after="0"/>
        <w:ind w:left="0" w:right="0" w:hanging="0"/>
        <w:rPr>
          <w:rFonts w:ascii="Calibri" w:hAnsi="Calibri"/>
        </w:rPr>
      </w:pPr>
      <w:r>
        <w:rPr>
          <w:rFonts w:cs="Arial" w:ascii="Calibri" w:hAnsi="Calibri"/>
          <w:sz w:val="24"/>
          <w:szCs w:val="24"/>
        </w:rPr>
        <w:t xml:space="preserve">Zastupitelstvo města Domažlice vydalo </w:t>
      </w:r>
      <w:r>
        <w:rPr>
          <w:rFonts w:cs="Arial" w:ascii="Calibri" w:hAnsi="Calibri"/>
          <w:sz w:val="24"/>
          <w:szCs w:val="24"/>
          <w:shd w:fill="auto" w:val="clear"/>
        </w:rPr>
        <w:t xml:space="preserve">usnesením č. 122 </w:t>
      </w:r>
      <w:r>
        <w:rPr>
          <w:rFonts w:cs="Arial" w:ascii="Calibri" w:hAnsi="Calibri"/>
          <w:sz w:val="24"/>
          <w:szCs w:val="24"/>
        </w:rPr>
        <w:t>na svém zasedání konaném dne</w:t>
      </w:r>
      <w:r>
        <w:rPr>
          <w:rFonts w:cs="Arial" w:ascii="Calibri" w:hAnsi="Calibri"/>
          <w:sz w:val="24"/>
          <w:szCs w:val="24"/>
          <w:shd w:fill="auto" w:val="clear"/>
        </w:rPr>
        <w:t xml:space="preserve"> 14.12.2022</w:t>
      </w:r>
      <w:r>
        <w:rPr>
          <w:rFonts w:cs="Arial" w:ascii="Calibri" w:hAnsi="Calibri"/>
          <w:sz w:val="24"/>
          <w:szCs w:val="24"/>
        </w:rPr>
        <w:t xml:space="preserve">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>
      <w:pPr>
        <w:pStyle w:val="Nadpis4"/>
        <w:ind w:hanging="0"/>
        <w:jc w:val="center"/>
        <w:rPr>
          <w:rFonts w:ascii="Calibri" w:hAnsi="Calibri"/>
        </w:rPr>
      </w:pPr>
      <w:r>
        <w:rPr>
          <w:rFonts w:cs="Arial"/>
          <w:b/>
          <w:bCs/>
          <w:i w:val="false"/>
          <w:iCs w:val="false"/>
          <w:sz w:val="24"/>
          <w:szCs w:val="24"/>
        </w:rPr>
        <w:t>Čl. 1</w:t>
      </w:r>
      <w:r>
        <w:rPr>
          <w:rFonts w:cs="Arial"/>
          <w:b w:val="false"/>
          <w:bCs w:val="false"/>
          <w:i w:val="false"/>
          <w:iCs w:val="false"/>
          <w:sz w:val="24"/>
          <w:szCs w:val="24"/>
        </w:rPr>
        <w:br/>
      </w:r>
      <w:r>
        <w:rPr>
          <w:rFonts w:cs="Arial"/>
          <w:b/>
          <w:bCs/>
          <w:i w:val="false"/>
          <w:iCs w:val="false"/>
          <w:sz w:val="24"/>
          <w:szCs w:val="24"/>
        </w:rPr>
        <w:t>Úvodní ustanovení</w:t>
      </w:r>
    </w:p>
    <w:p>
      <w:pPr>
        <w:pStyle w:val="NormalWeb"/>
        <w:spacing w:before="0" w:after="0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Web"/>
        <w:spacing w:before="0" w:after="0"/>
        <w:ind w:left="0" w:right="0" w:hanging="0"/>
        <w:rPr>
          <w:rFonts w:ascii="Calibri" w:hAnsi="Calibri"/>
        </w:rPr>
      </w:pPr>
      <w:r>
        <w:rPr>
          <w:rFonts w:cs="Arial" w:ascii="Calibri" w:hAnsi="Calibri"/>
          <w:sz w:val="24"/>
          <w:szCs w:val="24"/>
        </w:rPr>
        <w:t>(1)</w:t>
        <w:tab/>
        <w:t>Tato vyhláška</w:t>
      </w:r>
      <w:r>
        <w:rPr>
          <w:rFonts w:cs="Arial" w:ascii="Calibri" w:hAnsi="Calibri"/>
          <w:color w:val="auto"/>
          <w:sz w:val="24"/>
          <w:szCs w:val="24"/>
        </w:rPr>
        <w:t xml:space="preserve"> </w:t>
      </w:r>
      <w:r>
        <w:rPr>
          <w:rFonts w:cs="Arial" w:ascii="Calibri" w:hAnsi="Calibri"/>
          <w:sz w:val="24"/>
          <w:szCs w:val="24"/>
        </w:rPr>
        <w:t xml:space="preserve">upravuje organizaci a zásady zabezpečení požární ochrany ve městě. </w:t>
      </w:r>
    </w:p>
    <w:p>
      <w:pPr>
        <w:pStyle w:val="NormalWeb"/>
        <w:spacing w:before="0" w:after="0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Web"/>
        <w:spacing w:before="0" w:after="0"/>
        <w:ind w:left="705" w:right="0" w:hanging="705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(2)</w:t>
        <w:tab/>
        <w:t>Při zabezpečování požární ochrany spolupracuje město zejména s hasičským záchranným sborem kraje, občanskými sdruženími a obecně prospěšnými společnostmi působícími na úseku požární ochrany.</w:t>
      </w:r>
    </w:p>
    <w:p>
      <w:pPr>
        <w:pStyle w:val="NormalWeb"/>
        <w:spacing w:before="0" w:after="0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adpis4"/>
        <w:ind w:hanging="0"/>
        <w:jc w:val="center"/>
        <w:rPr>
          <w:rFonts w:ascii="Calibri" w:hAnsi="Calibri" w:cs="Aria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Arial"/>
          <w:b/>
          <w:bCs/>
          <w:i w:val="false"/>
          <w:iCs w:val="false"/>
          <w:sz w:val="24"/>
          <w:szCs w:val="24"/>
        </w:rPr>
        <w:t>Čl. 2</w:t>
        <w:br/>
        <w:t>Vymezení činnosti osob pověřených zabezpečováním požární ochrany v obci</w:t>
      </w:r>
    </w:p>
    <w:p>
      <w:pPr>
        <w:pStyle w:val="NormalWeb"/>
        <w:spacing w:before="0" w:after="0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Web"/>
        <w:numPr>
          <w:ilvl w:val="0"/>
          <w:numId w:val="1"/>
        </w:numPr>
        <w:spacing w:before="0" w:after="0"/>
        <w:ind w:left="567" w:right="0" w:hanging="567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Ochrana životů, zdraví a majetku občanů před požáry, živelními pohromami a jinými mimořádnými událostmi na území města Domažlice (dále jen „města“) je zajištěna jednotkou sboru dobrovolných hasičů města (dále jen „JSDH města“) podle čl. 5 této vyhlášky a dále jednotkami požární ochrany uvedenými v příloze č. 1 této vyhlášky. </w:t>
      </w:r>
    </w:p>
    <w:p>
      <w:pPr>
        <w:pStyle w:val="NormalWeb"/>
        <w:spacing w:before="0" w:after="0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Web"/>
        <w:numPr>
          <w:ilvl w:val="0"/>
          <w:numId w:val="1"/>
        </w:numPr>
        <w:spacing w:before="0" w:after="0"/>
        <w:ind w:left="567" w:right="0" w:hanging="567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K zabezpečení úkolů na úseku požární ochrany byly na základě usnesení zastupitelstva města dále pověřeny tyto orgány města:</w:t>
      </w:r>
    </w:p>
    <w:p>
      <w:pPr>
        <w:pStyle w:val="ListParagraph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left="1020" w:right="0" w:hanging="454"/>
        <w:contextualSpacing/>
        <w:jc w:val="both"/>
        <w:rPr>
          <w:rFonts w:ascii="Calibri" w:hAnsi="Calibri"/>
        </w:rPr>
      </w:pPr>
      <w:r>
        <w:rPr>
          <w:rFonts w:cs="Arial"/>
          <w:sz w:val="24"/>
          <w:szCs w:val="24"/>
          <w:lang w:val="cs-CZ"/>
        </w:rPr>
        <w:t>zastupitelstvo města -</w:t>
      </w:r>
      <w:r>
        <w:rPr>
          <w:rFonts w:cs="Arial"/>
          <w:color w:val="FF0000"/>
          <w:sz w:val="24"/>
          <w:szCs w:val="24"/>
          <w:lang w:val="cs-CZ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val="cs-CZ" w:eastAsia="cs-CZ"/>
        </w:rPr>
        <w:t>projednáním stavu požární ochrany v  obci minimálně 1x za 12 měsíců nebo vždy po závažné mimořádné události mající vztah k zajištění požární ochrany v  obci,</w:t>
      </w:r>
    </w:p>
    <w:p>
      <w:pPr>
        <w:pStyle w:val="ListParagraph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left="1020" w:right="0" w:hanging="454"/>
        <w:contextualSpacing/>
        <w:jc w:val="both"/>
        <w:rPr>
          <w:rFonts w:ascii="Calibri" w:hAnsi="Calibri"/>
        </w:rPr>
      </w:pPr>
      <w:r>
        <w:rPr>
          <w:rFonts w:cs="Arial"/>
          <w:sz w:val="24"/>
          <w:szCs w:val="24"/>
          <w:lang w:val="cs-CZ"/>
        </w:rPr>
        <w:t>starosta -</w:t>
      </w:r>
      <w:r>
        <w:rPr>
          <w:rFonts w:cs="Arial"/>
          <w:color w:val="FF0000"/>
          <w:sz w:val="24"/>
          <w:szCs w:val="24"/>
          <w:lang w:val="cs-CZ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>
      <w:pPr>
        <w:pStyle w:val="ListParagraph"/>
        <w:spacing w:lineRule="auto" w:line="240" w:before="0" w:after="0"/>
        <w:ind w:left="1418" w:right="0" w:hanging="0"/>
        <w:contextualSpacing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adpis4"/>
        <w:ind w:hanging="0"/>
        <w:jc w:val="center"/>
        <w:rPr>
          <w:rFonts w:ascii="Calibri" w:hAnsi="Calibri" w:cs="Aria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Arial"/>
          <w:b/>
          <w:bCs/>
          <w:i w:val="false"/>
          <w:iCs w:val="false"/>
          <w:sz w:val="24"/>
          <w:szCs w:val="24"/>
        </w:rPr>
        <w:t>Čl. 3</w:t>
        <w:br/>
        <w:t>Podmínky požární bezpečnosti při činnostech a v objektech se zvýšeným nebezpečím vzniku požáru se zřetelem na místní situaci</w:t>
      </w:r>
    </w:p>
    <w:p>
      <w:pPr>
        <w:pStyle w:val="Normal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Web"/>
        <w:numPr>
          <w:ilvl w:val="0"/>
          <w:numId w:val="7"/>
        </w:numPr>
        <w:spacing w:before="0" w:after="0"/>
        <w:ind w:left="567" w:right="0" w:hanging="567"/>
        <w:rPr>
          <w:rFonts w:ascii="Calibri" w:hAnsi="Calibri" w:cs="Arial"/>
          <w:color w:val="000000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  <w:t>Město nestanoví se zřetelem na místní situaci žádné činnosti ani objekty se zvýšeným</w:t>
      </w:r>
    </w:p>
    <w:p>
      <w:pPr>
        <w:pStyle w:val="NormalWeb"/>
        <w:spacing w:before="0" w:after="0"/>
        <w:ind w:left="567" w:right="0" w:hanging="0"/>
        <w:rPr>
          <w:rFonts w:ascii="Calibri" w:hAnsi="Calibri" w:cs="Arial"/>
          <w:color w:val="000000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  <w:t>nebezpečím vzniku požáru ani podmínky požární bezpečnosti vztahující se k takovým</w:t>
      </w:r>
    </w:p>
    <w:p>
      <w:pPr>
        <w:pStyle w:val="NormalWeb"/>
        <w:spacing w:before="0" w:after="0"/>
        <w:ind w:left="567" w:right="0" w:hanging="0"/>
        <w:rPr>
          <w:rFonts w:ascii="Calibri" w:hAnsi="Calibri" w:cs="Arial"/>
          <w:color w:val="000000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  <w:t>činnostem či objektům.</w:t>
      </w:r>
      <w:r>
        <w:rPr>
          <w:rFonts w:ascii="Calibri" w:hAnsi="Calibri"/>
          <w:strike w:val="false"/>
          <w:dstrike w:val="false"/>
          <w:color w:val="2300DC"/>
          <w:sz w:val="24"/>
          <w:szCs w:val="24"/>
          <w:u w:val="none"/>
        </w:rPr>
        <w:tab/>
      </w:r>
    </w:p>
    <w:p>
      <w:pPr>
        <w:pStyle w:val="Nadpis4"/>
        <w:ind w:hanging="0"/>
        <w:jc w:val="center"/>
        <w:rPr>
          <w:rFonts w:ascii="Calibri" w:hAnsi="Calibri" w:cs="Aria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Arial"/>
          <w:b/>
          <w:bCs/>
          <w:i w:val="false"/>
          <w:iCs w:val="false"/>
          <w:sz w:val="24"/>
          <w:szCs w:val="24"/>
        </w:rPr>
        <w:t>Čl. 4</w:t>
        <w:br/>
        <w:t>Způsob nepřetržitého zabezpečení požární ochrany v obci</w:t>
      </w:r>
    </w:p>
    <w:p>
      <w:pPr>
        <w:pStyle w:val="NormalWeb"/>
        <w:spacing w:before="0" w:after="0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Web"/>
        <w:numPr>
          <w:ilvl w:val="0"/>
          <w:numId w:val="3"/>
        </w:numPr>
        <w:spacing w:before="0" w:after="0"/>
        <w:ind w:left="567" w:right="0" w:hanging="567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Přijetí ohlášení požáru, živelní pohromy či jiné mimořádné události na území města je zabezpečeno systémem ohlašoven požárů uvedených v čl. 7.</w:t>
      </w:r>
    </w:p>
    <w:p>
      <w:pPr>
        <w:pStyle w:val="NormalWeb"/>
        <w:spacing w:before="0" w:after="0"/>
        <w:ind w:left="0" w:right="0" w:hanging="0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Web"/>
        <w:numPr>
          <w:ilvl w:val="0"/>
          <w:numId w:val="3"/>
        </w:numPr>
        <w:spacing w:before="0" w:after="0"/>
        <w:ind w:left="567" w:right="0" w:hanging="567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Ochrana životů, zdraví a majetku občanů před požáry, živelními pohromami a jinými mimořádnými událostmi na území města  je zabezpečena jednotkami požární ochrany uvedenými v čl. 5 a v příloze č. 1 vyhlášky.</w:t>
      </w:r>
    </w:p>
    <w:p>
      <w:pPr>
        <w:pStyle w:val="NormalWeb"/>
        <w:spacing w:before="0" w:after="0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adpis4"/>
        <w:ind w:hanging="0"/>
        <w:jc w:val="center"/>
        <w:rPr>
          <w:rFonts w:ascii="Calibri" w:hAnsi="Calibri" w:cs="Aria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Arial"/>
          <w:b/>
          <w:bCs/>
          <w:i w:val="false"/>
          <w:iCs w:val="false"/>
          <w:sz w:val="24"/>
          <w:szCs w:val="24"/>
        </w:rPr>
        <w:t>Čl. 5</w:t>
        <w:br/>
        <w:t>Jednotky sboru dobrovolných hasičů města, kategorie, početní stavy a vybavení</w:t>
      </w:r>
    </w:p>
    <w:p>
      <w:pPr>
        <w:pStyle w:val="NormalWeb"/>
        <w:spacing w:before="0" w:after="0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Tlotextu"/>
        <w:numPr>
          <w:ilvl w:val="0"/>
          <w:numId w:val="2"/>
        </w:numPr>
        <w:tabs>
          <w:tab w:val="clear" w:pos="720"/>
          <w:tab w:val="left" w:pos="707" w:leader="none"/>
        </w:tabs>
        <w:spacing w:before="0" w:after="0"/>
        <w:ind w:left="567" w:right="0" w:hanging="567"/>
        <w:jc w:val="both"/>
        <w:rPr>
          <w:rFonts w:ascii="Calibri" w:hAnsi="Calibri"/>
        </w:rPr>
      </w:pPr>
      <w:r>
        <w:rPr>
          <w:rFonts w:ascii="Calibri" w:hAnsi="Calibri"/>
          <w:color w:val="auto"/>
          <w:sz w:val="24"/>
          <w:szCs w:val="24"/>
        </w:rPr>
        <w:t>Město Domažlice zřizuje jednotku sboru dobrovolných hasičů. Kategorie jednotky je JPO III/I s počtem členů 19, s minimálním počtem členů v pohotovosti 4</w:t>
      </w:r>
      <w:r>
        <w:rPr>
          <w:rFonts w:cs="Arial" w:ascii="Calibri" w:hAnsi="Calibri"/>
          <w:color w:val="auto"/>
          <w:sz w:val="24"/>
          <w:szCs w:val="24"/>
        </w:rPr>
        <w:t>(družstvo o sníženém počtu členů je 1+3)</w:t>
      </w:r>
      <w:r>
        <w:rPr>
          <w:rFonts w:ascii="Calibri" w:hAnsi="Calibri"/>
          <w:color w:val="auto"/>
          <w:sz w:val="24"/>
          <w:szCs w:val="24"/>
        </w:rPr>
        <w:t>. Vybavení požární technikou a věcnými prostředky požární ochrany jednotky sboru dobrovolných hasičů města Domažlice je uvedeno v příloze č.</w:t>
      </w:r>
      <w:r>
        <w:rPr>
          <w:rFonts w:ascii="Calibri" w:hAnsi="Calibri"/>
          <w:color w:val="000000"/>
          <w:sz w:val="24"/>
          <w:szCs w:val="24"/>
          <w:shd w:fill="auto" w:val="clear"/>
        </w:rPr>
        <w:t xml:space="preserve"> 2, </w:t>
      </w:r>
      <w:r>
        <w:rPr>
          <w:rFonts w:ascii="Calibri" w:hAnsi="Calibri"/>
          <w:color w:val="auto"/>
          <w:sz w:val="24"/>
          <w:szCs w:val="24"/>
        </w:rPr>
        <w:t xml:space="preserve">která je nedílnou součástí požárního řádu města. </w:t>
      </w:r>
    </w:p>
    <w:p>
      <w:pPr>
        <w:pStyle w:val="Tlotextu"/>
        <w:spacing w:before="0" w:after="0"/>
        <w:ind w:left="720" w:right="0" w:hanging="0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Tlotextu"/>
        <w:numPr>
          <w:ilvl w:val="0"/>
          <w:numId w:val="2"/>
        </w:numPr>
        <w:spacing w:before="0" w:after="0"/>
        <w:ind w:left="567" w:right="0" w:hanging="567"/>
        <w:rPr>
          <w:rFonts w:ascii="Calibri" w:hAnsi="Calibri"/>
        </w:rPr>
      </w:pPr>
      <w:r>
        <w:rPr>
          <w:rFonts w:cs="Arial" w:ascii="Calibri" w:hAnsi="Calibri"/>
          <w:color w:val="auto"/>
          <w:sz w:val="24"/>
          <w:szCs w:val="24"/>
        </w:rPr>
        <w:t>Dále město zřizuje jednotku sboru dobrovolných hasičů v</w:t>
      </w:r>
      <w:r>
        <w:rPr>
          <w:rFonts w:cs="Arial" w:ascii="Calibri" w:hAnsi="Calibri"/>
          <w:color w:val="000000"/>
          <w:sz w:val="24"/>
          <w:szCs w:val="24"/>
        </w:rPr>
        <w:t xml:space="preserve"> části města Domažlice  v Havlovicích. Kategorie této jednotky je JPO V/1 s počtem členů 9, s minimálním</w:t>
      </w:r>
      <w:r>
        <w:rPr>
          <w:rFonts w:cs="Arial" w:ascii="Calibri" w:hAnsi="Calibri"/>
          <w:color w:val="auto"/>
          <w:sz w:val="24"/>
          <w:szCs w:val="24"/>
        </w:rPr>
        <w:t xml:space="preserve"> počtem členů v pohotovosti 4 (družstvo o sníženém počtu členů je 1+3). Vybavení požární technikou a věcnými prostředky požární ochrany jednotky, je uvedeno v příloze č. 2</w:t>
      </w:r>
      <w:r>
        <w:rPr>
          <w:rFonts w:cs="Arial" w:ascii="Calibri" w:hAnsi="Calibri"/>
          <w:color w:val="000000"/>
          <w:sz w:val="24"/>
          <w:szCs w:val="24"/>
          <w:shd w:fill="auto" w:val="clear"/>
        </w:rPr>
        <w:t xml:space="preserve">, </w:t>
      </w:r>
      <w:r>
        <w:rPr>
          <w:rFonts w:cs="Arial" w:ascii="Calibri" w:hAnsi="Calibri"/>
          <w:color w:val="auto"/>
          <w:sz w:val="24"/>
          <w:szCs w:val="24"/>
        </w:rPr>
        <w:t xml:space="preserve">která je nedílnou součástí požárního řádu města. </w:t>
      </w:r>
    </w:p>
    <w:p>
      <w:pPr>
        <w:pStyle w:val="NormalWeb"/>
        <w:spacing w:before="0" w:after="0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Web"/>
        <w:numPr>
          <w:ilvl w:val="0"/>
          <w:numId w:val="2"/>
        </w:numPr>
        <w:spacing w:before="0" w:after="0"/>
        <w:ind w:left="567" w:right="0" w:hanging="567"/>
        <w:rPr>
          <w:rFonts w:ascii="Calibri" w:hAnsi="Calibri"/>
        </w:rPr>
      </w:pPr>
      <w:r>
        <w:rPr>
          <w:rFonts w:cs="Arial" w:ascii="Calibri" w:hAnsi="Calibri"/>
          <w:sz w:val="24"/>
          <w:szCs w:val="24"/>
        </w:rPr>
        <w:t xml:space="preserve">Členové jednotky SDH Domažlice se při vyhlášení požárního poplachu dostaví ve stanoveném čase do požární zbrojnice v Břetislavově ulici v Domažlicích, anebo na jiné místo, stanovené velitelem JSDH. </w:t>
      </w:r>
      <w:r>
        <w:rPr>
          <w:rFonts w:cs="Arial" w:ascii="Calibri" w:hAnsi="Calibri"/>
          <w:color w:val="auto"/>
          <w:sz w:val="24"/>
          <w:szCs w:val="24"/>
        </w:rPr>
        <w:t>Členové jednotky SDH Domažlice-část Havlovice se při vyhlášení požárního poplachu dostaví ve stanoveném čase do požární zbrojnice v Havlovicích, anebo na jiné místo, stanovené velitelem JSDH.</w:t>
      </w:r>
    </w:p>
    <w:p>
      <w:pPr>
        <w:pStyle w:val="NormalWeb"/>
        <w:spacing w:before="0" w:after="0"/>
        <w:ind w:left="567" w:right="0" w:hanging="567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adpis4"/>
        <w:ind w:hanging="0"/>
        <w:jc w:val="center"/>
        <w:rPr>
          <w:rFonts w:ascii="Calibri" w:hAnsi="Calibri" w:cs="Aria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Arial"/>
          <w:b/>
          <w:bCs/>
          <w:i w:val="false"/>
          <w:iCs w:val="false"/>
          <w:sz w:val="24"/>
          <w:szCs w:val="24"/>
        </w:rPr>
        <w:t>Čl. 6</w:t>
        <w:br/>
        <w:t xml:space="preserve">Přehled o zdrojích vody pro hašení požárů a podmínky jejich trvalé použitelnosti </w:t>
      </w:r>
    </w:p>
    <w:p>
      <w:pPr>
        <w:pStyle w:val="NormalWeb"/>
        <w:spacing w:before="0" w:after="0"/>
        <w:rPr>
          <w:rFonts w:ascii="Calibri" w:hAnsi="Calibri" w:cs="Aria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b/>
          <w:bCs/>
          <w:i w:val="false"/>
          <w:iCs w:val="false"/>
          <w:sz w:val="24"/>
          <w:szCs w:val="24"/>
        </w:rPr>
      </w:r>
    </w:p>
    <w:p>
      <w:pPr>
        <w:pStyle w:val="NormalWeb"/>
        <w:numPr>
          <w:ilvl w:val="0"/>
          <w:numId w:val="4"/>
        </w:numPr>
        <w:spacing w:before="0" w:after="0"/>
        <w:ind w:left="567" w:right="0" w:hanging="567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Ukotvenpoznmkypodarou"/>
          <w:rFonts w:cs="Arial" w:ascii="Calibri" w:hAnsi="Calibri"/>
          <w:sz w:val="24"/>
          <w:szCs w:val="24"/>
        </w:rPr>
        <w:footnoteReference w:id="2"/>
      </w:r>
      <w:r>
        <w:rPr>
          <w:rFonts w:cs="Arial" w:ascii="Calibri" w:hAnsi="Calibri"/>
          <w:sz w:val="24"/>
          <w:szCs w:val="24"/>
        </w:rPr>
        <w:t xml:space="preserve">. </w:t>
      </w:r>
    </w:p>
    <w:p>
      <w:pPr>
        <w:pStyle w:val="NormalWeb"/>
        <w:spacing w:before="0" w:after="0"/>
        <w:ind w:left="720" w:right="0" w:hanging="0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Web"/>
        <w:numPr>
          <w:ilvl w:val="0"/>
          <w:numId w:val="4"/>
        </w:numPr>
        <w:spacing w:before="0" w:after="0"/>
        <w:ind w:left="567" w:right="0" w:hanging="567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Zdroje vody pro hašení požárů jsou stanoveny v nařízení kraje</w:t>
      </w:r>
      <w:r>
        <w:rPr>
          <w:rStyle w:val="Ukotvenpoznmkypodarou"/>
          <w:rFonts w:cs="Arial" w:ascii="Calibri" w:hAnsi="Calibri"/>
          <w:sz w:val="24"/>
          <w:szCs w:val="24"/>
        </w:rPr>
        <w:footnoteReference w:id="3"/>
      </w:r>
      <w:r>
        <w:rPr>
          <w:rFonts w:cs="Arial" w:ascii="Calibri" w:hAnsi="Calibri"/>
          <w:sz w:val="24"/>
          <w:szCs w:val="24"/>
        </w:rPr>
        <w:t xml:space="preserve">. Zdroje vody pro hašení požárů na území města jsou uvedeny v příloze č. </w:t>
      </w:r>
      <w:r>
        <w:rPr>
          <w:rFonts w:cs="Arial" w:ascii="Calibri" w:hAnsi="Calibri"/>
          <w:sz w:val="24"/>
          <w:szCs w:val="24"/>
          <w:shd w:fill="auto" w:val="clear"/>
        </w:rPr>
        <w:t xml:space="preserve">3 </w:t>
      </w:r>
      <w:r>
        <w:rPr>
          <w:rFonts w:cs="Arial" w:ascii="Calibri" w:hAnsi="Calibri"/>
          <w:sz w:val="24"/>
          <w:szCs w:val="24"/>
        </w:rPr>
        <w:t>vyhlášky.</w:t>
      </w:r>
    </w:p>
    <w:p>
      <w:pPr>
        <w:pStyle w:val="NormalWeb"/>
        <w:spacing w:before="0" w:after="0"/>
        <w:ind w:left="0" w:right="0" w:hanging="0"/>
        <w:rPr>
          <w:rFonts w:ascii="Calibri" w:hAnsi="Calibri" w:cs="Arial"/>
          <w:b/>
          <w:b/>
          <w:i/>
          <w:i/>
          <w:color w:val="0070C0"/>
          <w:sz w:val="24"/>
          <w:szCs w:val="24"/>
          <w:u w:val="single"/>
        </w:rPr>
      </w:pPr>
      <w:r>
        <w:rPr>
          <w:rFonts w:cs="Arial" w:ascii="Calibri" w:hAnsi="Calibri"/>
          <w:b/>
          <w:i/>
          <w:color w:val="0070C0"/>
          <w:sz w:val="24"/>
          <w:szCs w:val="24"/>
          <w:u w:val="single"/>
        </w:rPr>
      </w:r>
    </w:p>
    <w:p>
      <w:pPr>
        <w:pStyle w:val="NormalWeb"/>
        <w:numPr>
          <w:ilvl w:val="0"/>
          <w:numId w:val="8"/>
        </w:numPr>
        <w:spacing w:before="0" w:after="0"/>
        <w:ind w:left="567" w:right="0" w:hanging="567"/>
        <w:rPr>
          <w:rFonts w:ascii="Calibri" w:hAnsi="Calibri" w:eastAsia="Times New Roman" w:cs="Arial"/>
          <w:color w:val="000000"/>
          <w:kern w:val="0"/>
          <w:sz w:val="24"/>
          <w:szCs w:val="24"/>
          <w:lang w:val="cs-CZ" w:eastAsia="cs-CZ" w:bidi="ar-SA"/>
        </w:rPr>
      </w:pPr>
      <w:r>
        <w:rPr>
          <w:rFonts w:eastAsia="Times New Roman" w:cs="Arial" w:ascii="Calibri" w:hAnsi="Calibri"/>
          <w:color w:val="000000"/>
          <w:kern w:val="0"/>
          <w:sz w:val="24"/>
          <w:szCs w:val="24"/>
          <w:lang w:val="cs-CZ" w:eastAsia="cs-CZ" w:bidi="ar-SA"/>
        </w:rPr>
        <w:t xml:space="preserve">Nad rámec nařízení kraje město stanovilo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 Plzeňského kraje. </w:t>
      </w:r>
    </w:p>
    <w:p>
      <w:pPr>
        <w:pStyle w:val="NormalWeb"/>
        <w:spacing w:before="0" w:after="0"/>
        <w:ind w:left="567" w:right="0" w:hanging="567"/>
        <w:rPr>
          <w:rFonts w:ascii="Calibri" w:hAnsi="Calibri" w:eastAsia="Times New Roman" w:cs="Arial"/>
          <w:color w:val="000000"/>
          <w:kern w:val="0"/>
          <w:sz w:val="24"/>
          <w:szCs w:val="24"/>
          <w:lang w:val="cs-CZ" w:eastAsia="cs-CZ" w:bidi="ar-SA"/>
        </w:rPr>
      </w:pPr>
      <w:r>
        <w:rPr>
          <w:rFonts w:eastAsia="Times New Roman" w:cs="Arial" w:ascii="Calibri" w:hAnsi="Calibri"/>
          <w:color w:val="000000"/>
          <w:kern w:val="0"/>
          <w:sz w:val="24"/>
          <w:szCs w:val="24"/>
          <w:lang w:val="cs-CZ" w:eastAsia="cs-CZ" w:bidi="ar-SA"/>
        </w:rPr>
      </w:r>
    </w:p>
    <w:p>
      <w:pPr>
        <w:pStyle w:val="NormalWeb"/>
        <w:numPr>
          <w:ilvl w:val="0"/>
          <w:numId w:val="8"/>
        </w:numPr>
        <w:spacing w:before="0" w:after="0"/>
        <w:ind w:left="567" w:right="0" w:hanging="567"/>
        <w:rPr>
          <w:rFonts w:ascii="Calibri" w:hAnsi="Calibri" w:eastAsia="Times New Roman" w:cs="Arial"/>
          <w:color w:val="000000"/>
          <w:kern w:val="0"/>
          <w:sz w:val="24"/>
          <w:szCs w:val="24"/>
          <w:lang w:val="cs-CZ" w:eastAsia="cs-CZ" w:bidi="ar-SA"/>
        </w:rPr>
      </w:pPr>
      <w:r>
        <w:rPr>
          <w:rFonts w:eastAsia="Times New Roman" w:cs="Arial" w:ascii="Calibri" w:hAnsi="Calibri"/>
          <w:color w:val="000000"/>
          <w:kern w:val="0"/>
          <w:sz w:val="24"/>
          <w:szCs w:val="24"/>
          <w:lang w:val="cs-CZ" w:eastAsia="cs-CZ" w:bidi="ar-SA"/>
        </w:rPr>
        <w:t>Vlastníci nebo uživatelé zdrojů vody, které stanovila obec (čl. 6 odst. 3), jsou povinni oznámit obci:</w:t>
      </w:r>
    </w:p>
    <w:p>
      <w:pPr>
        <w:pStyle w:val="NormalWeb"/>
        <w:tabs>
          <w:tab w:val="clear" w:pos="720"/>
          <w:tab w:val="left" w:pos="960" w:leader="none"/>
        </w:tabs>
        <w:spacing w:before="0" w:after="0"/>
        <w:ind w:left="567" w:right="0" w:hanging="567"/>
        <w:rPr>
          <w:rFonts w:ascii="Calibri" w:hAnsi="Calibri" w:eastAsia="Times New Roman" w:cs="Arial"/>
          <w:color w:val="000000"/>
          <w:kern w:val="0"/>
          <w:sz w:val="24"/>
          <w:szCs w:val="24"/>
          <w:lang w:val="cs-CZ" w:eastAsia="cs-CZ" w:bidi="ar-SA"/>
        </w:rPr>
      </w:pPr>
      <w:r>
        <w:rPr>
          <w:rFonts w:eastAsia="Times New Roman" w:cs="Arial" w:ascii="Calibri" w:hAnsi="Calibri"/>
          <w:color w:val="000000"/>
          <w:kern w:val="0"/>
          <w:sz w:val="24"/>
          <w:szCs w:val="24"/>
          <w:lang w:val="cs-CZ" w:eastAsia="cs-CZ" w:bidi="ar-SA"/>
        </w:rPr>
        <w:tab/>
        <w:t xml:space="preserve">a) </w:t>
        <w:tab/>
        <w:t xml:space="preserve">nejméně 30 dní před plánovaným termínem provádění prací na vodním zdroji, </w:t>
        <w:tab/>
        <w:t xml:space="preserve">které mohou dočasně omezit jeho využitelnost pro čerpání vody k hašení </w:t>
        <w:tab/>
        <w:t>požárů, a dále předpokládanou dobu těchto prací,</w:t>
      </w:r>
    </w:p>
    <w:p>
      <w:pPr>
        <w:pStyle w:val="NormalWeb"/>
        <w:tabs>
          <w:tab w:val="clear" w:pos="720"/>
          <w:tab w:val="left" w:pos="960" w:leader="none"/>
        </w:tabs>
        <w:spacing w:before="0" w:after="0"/>
        <w:ind w:left="567" w:right="0" w:hanging="567"/>
        <w:rPr>
          <w:rFonts w:ascii="Calibri" w:hAnsi="Calibri" w:eastAsia="Times New Roman" w:cs="Arial"/>
          <w:color w:val="000000"/>
          <w:kern w:val="0"/>
          <w:sz w:val="24"/>
          <w:szCs w:val="24"/>
          <w:lang w:val="cs-CZ" w:eastAsia="cs-CZ" w:bidi="ar-SA"/>
        </w:rPr>
      </w:pPr>
      <w:r>
        <w:rPr>
          <w:rFonts w:eastAsia="Times New Roman" w:cs="Arial" w:ascii="Calibri" w:hAnsi="Calibri"/>
          <w:color w:val="000000"/>
          <w:kern w:val="0"/>
          <w:sz w:val="24"/>
          <w:szCs w:val="24"/>
          <w:lang w:val="cs-CZ" w:eastAsia="cs-CZ" w:bidi="ar-SA"/>
        </w:rPr>
        <w:tab/>
        <w:t xml:space="preserve">b) </w:t>
        <w:tab/>
        <w:t xml:space="preserve">neprodleně vznik mimořádné události na vodním zdroji, která by znemožnila </w:t>
        <w:tab/>
        <w:t xml:space="preserve">jeho </w:t>
        <w:tab/>
        <w:t>využití k čerpání vody pro hašení požárů.</w:t>
      </w:r>
    </w:p>
    <w:p>
      <w:pPr>
        <w:pStyle w:val="NormalWeb"/>
        <w:spacing w:before="0" w:after="0"/>
        <w:ind w:left="0" w:right="0" w:hanging="0"/>
        <w:rPr>
          <w:rFonts w:ascii="Calibri" w:hAnsi="Calibri" w:cs="Arial"/>
          <w:sz w:val="24"/>
          <w:szCs w:val="24"/>
          <w:shd w:fill="auto" w:val="clear"/>
        </w:rPr>
      </w:pPr>
      <w:r>
        <w:rPr>
          <w:rFonts w:cs="Arial" w:ascii="Calibri" w:hAnsi="Calibri"/>
          <w:sz w:val="24"/>
          <w:szCs w:val="24"/>
          <w:shd w:fill="auto" w:val="clear"/>
        </w:rPr>
      </w:r>
    </w:p>
    <w:p>
      <w:pPr>
        <w:pStyle w:val="Nadpis4"/>
        <w:ind w:hanging="0"/>
        <w:jc w:val="center"/>
        <w:rPr>
          <w:rFonts w:ascii="Calibri" w:hAnsi="Calibri" w:cs="Aria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Arial"/>
          <w:b/>
          <w:bCs/>
          <w:i w:val="false"/>
          <w:iCs w:val="false"/>
          <w:sz w:val="24"/>
          <w:szCs w:val="24"/>
        </w:rPr>
        <w:t>Čl. 7</w:t>
        <w:br/>
        <w:t>Seznam ohlašoven požárů a dalších míst, odkud lze hlásit požár, a způsob jejich označení</w:t>
      </w:r>
    </w:p>
    <w:p>
      <w:pPr>
        <w:pStyle w:val="NormalWeb"/>
        <w:spacing w:before="0" w:after="0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Web"/>
        <w:numPr>
          <w:ilvl w:val="0"/>
          <w:numId w:val="5"/>
        </w:numPr>
        <w:spacing w:before="0" w:after="0"/>
        <w:ind w:left="567" w:right="0" w:hanging="567"/>
        <w:rPr>
          <w:rFonts w:ascii="Calibri" w:hAnsi="Calibri"/>
        </w:rPr>
      </w:pPr>
      <w:r>
        <w:rPr>
          <w:rFonts w:cs="Arial" w:ascii="Calibri" w:hAnsi="Calibri"/>
          <w:sz w:val="24"/>
          <w:szCs w:val="24"/>
        </w:rPr>
        <w:t xml:space="preserve">Město zřizuje ohlašovnu požárů na </w:t>
      </w:r>
      <w:r>
        <w:rPr>
          <w:rFonts w:cs="Arial" w:ascii="Calibri" w:hAnsi="Calibri"/>
          <w:color w:val="000000"/>
          <w:sz w:val="24"/>
          <w:szCs w:val="24"/>
          <w:shd w:fill="auto" w:val="clear"/>
          <w:lang w:val="cs-CZ" w:eastAsia="zxx"/>
        </w:rPr>
        <w:t>služebně Městské policie Domažlice, Boženy Němcové 118. Objekt</w:t>
      </w:r>
      <w:r>
        <w:rPr>
          <w:rFonts w:cs="Arial" w:ascii="Calibri" w:hAnsi="Calibri"/>
          <w:sz w:val="24"/>
          <w:szCs w:val="24"/>
        </w:rPr>
        <w:t xml:space="preserve"> je trvale označen tabulkou „Ohlašovna požárů”. </w:t>
      </w:r>
    </w:p>
    <w:p>
      <w:pPr>
        <w:pStyle w:val="Normal"/>
        <w:ind w:left="6372" w:right="0" w:hanging="0"/>
        <w:jc w:val="both"/>
        <w:rPr>
          <w:rFonts w:ascii="Calibri" w:hAnsi="Calibri" w:cs="Arial"/>
          <w:color w:val="FF0000"/>
          <w:sz w:val="24"/>
          <w:szCs w:val="24"/>
          <w:shd w:fill="auto" w:val="clear"/>
        </w:rPr>
      </w:pPr>
      <w:r>
        <w:rPr>
          <w:rFonts w:cs="Arial" w:ascii="Calibri" w:hAnsi="Calibri"/>
          <w:color w:val="FF0000"/>
          <w:sz w:val="24"/>
          <w:szCs w:val="24"/>
          <w:shd w:fill="auto" w:val="clear"/>
        </w:rPr>
      </w:r>
    </w:p>
    <w:p>
      <w:pPr>
        <w:pStyle w:val="Nadpis4"/>
        <w:ind w:hanging="0"/>
        <w:jc w:val="center"/>
        <w:rPr>
          <w:rFonts w:ascii="Calibri" w:hAnsi="Calibri" w:cs="Aria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Arial"/>
          <w:b/>
          <w:bCs/>
          <w:i w:val="false"/>
          <w:iCs w:val="false"/>
          <w:sz w:val="24"/>
          <w:szCs w:val="24"/>
        </w:rPr>
        <w:t>Čl. 8</w:t>
        <w:br/>
        <w:t>Způsob vyhlášení požárního poplachu v obci</w:t>
      </w:r>
    </w:p>
    <w:p>
      <w:pPr>
        <w:pStyle w:val="NormalWeb"/>
        <w:spacing w:before="0" w:after="0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Web"/>
        <w:spacing w:before="0" w:after="0"/>
        <w:ind w:left="567" w:right="0" w:hanging="56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(1) </w:t>
        <w:tab/>
        <w:t xml:space="preserve">Vyhlášení požárního poplachu ve městě Domažlice se provádí: </w:t>
      </w:r>
    </w:p>
    <w:p>
      <w:pPr>
        <w:pStyle w:val="NormalWeb"/>
        <w:widowControl/>
        <w:numPr>
          <w:ilvl w:val="0"/>
          <w:numId w:val="9"/>
        </w:numPr>
        <w:suppressAutoHyphens w:val="true"/>
        <w:bidi w:val="0"/>
        <w:spacing w:before="0" w:after="0"/>
        <w:ind w:left="964" w:right="0" w:hanging="39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signálem „POŽÁRNÍ POPLACH”, který je vyhlašován přerušovaným tónem sirény po dobu jedné minuty (25 sec. tón – 10 sec. pauza – 25 sec. tón). </w:t>
      </w:r>
    </w:p>
    <w:p>
      <w:pPr>
        <w:pStyle w:val="NormalWeb"/>
        <w:widowControl/>
        <w:suppressAutoHyphens w:val="true"/>
        <w:bidi w:val="0"/>
        <w:spacing w:before="0" w:after="0"/>
        <w:ind w:left="964" w:right="0" w:hanging="397"/>
        <w:jc w:val="both"/>
        <w:rPr>
          <w:rFonts w:ascii="Calibri" w:hAnsi="Calibri" w:cs="Arial"/>
          <w:color w:val="auto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</w:r>
    </w:p>
    <w:p>
      <w:pPr>
        <w:pStyle w:val="NormalWeb"/>
        <w:widowControl/>
        <w:numPr>
          <w:ilvl w:val="0"/>
          <w:numId w:val="9"/>
        </w:numPr>
        <w:suppressAutoHyphens w:val="true"/>
        <w:bidi w:val="0"/>
        <w:spacing w:before="0" w:after="0"/>
        <w:ind w:left="964" w:right="0" w:hanging="397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>
      <w:pPr>
        <w:pStyle w:val="NormalWeb"/>
        <w:widowControl/>
        <w:suppressAutoHyphens w:val="true"/>
        <w:bidi w:val="0"/>
        <w:spacing w:before="0" w:after="0"/>
        <w:ind w:left="964" w:right="0" w:hanging="397"/>
        <w:jc w:val="both"/>
        <w:rPr>
          <w:rFonts w:cs="Arial"/>
          <w:color w:val="auto"/>
        </w:rPr>
      </w:pPr>
      <w:r>
        <w:rPr>
          <w:rFonts w:cs="Arial"/>
          <w:color w:val="auto"/>
        </w:rPr>
      </w:r>
    </w:p>
    <w:p>
      <w:pPr>
        <w:pStyle w:val="NormalWeb"/>
        <w:widowControl/>
        <w:numPr>
          <w:ilvl w:val="0"/>
          <w:numId w:val="9"/>
        </w:numPr>
        <w:suppressAutoHyphens w:val="true"/>
        <w:bidi w:val="0"/>
        <w:spacing w:before="0" w:after="0"/>
        <w:ind w:left="964" w:right="0" w:hanging="397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v případě poruchy technických zařízení pro vyhlášení požárního poplachu se požární poplach v obci vyhlašuje městským rozhlasem či případně ještě dopravním prostředkem vybaveným audiotechnikou (megafonem, tlampačem apod.)</w:t>
      </w:r>
    </w:p>
    <w:p>
      <w:pPr>
        <w:pStyle w:val="NormalWeb"/>
        <w:spacing w:before="0" w:after="0"/>
        <w:ind w:left="0" w:right="0" w:hanging="0"/>
        <w:jc w:val="both"/>
        <w:rPr>
          <w:rFonts w:ascii="Calibri" w:hAnsi="Calibri" w:cs="Arial"/>
          <w:color w:val="FF0000"/>
          <w:sz w:val="24"/>
          <w:szCs w:val="24"/>
        </w:rPr>
      </w:pPr>
      <w:r>
        <w:rPr>
          <w:rFonts w:cs="Arial" w:ascii="Calibri" w:hAnsi="Calibri"/>
          <w:color w:val="FF0000"/>
          <w:sz w:val="24"/>
          <w:szCs w:val="24"/>
        </w:rPr>
      </w:r>
    </w:p>
    <w:p>
      <w:pPr>
        <w:pStyle w:val="NormalWeb"/>
        <w:tabs>
          <w:tab w:val="clear" w:pos="720"/>
          <w:tab w:val="left" w:pos="564" w:leader="none"/>
          <w:tab w:val="left" w:pos="960" w:leader="none"/>
        </w:tabs>
        <w:spacing w:before="0" w:after="0"/>
        <w:ind w:left="0" w:right="0" w:hanging="0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  <w:t xml:space="preserve">(2) </w:t>
        <w:tab/>
        <w:t>Vyhlášení požárního poplachu v části Havlovice se provádí:</w:t>
      </w:r>
    </w:p>
    <w:p>
      <w:pPr>
        <w:pStyle w:val="NormalWeb"/>
        <w:tabs>
          <w:tab w:val="clear" w:pos="720"/>
          <w:tab w:val="left" w:pos="576" w:leader="none"/>
          <w:tab w:val="left" w:pos="984" w:leader="none"/>
        </w:tabs>
        <w:spacing w:before="0" w:after="0"/>
        <w:ind w:left="0" w:right="0" w:hanging="0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  <w:tab/>
        <w:t>a)</w:t>
        <w:tab/>
        <w:t xml:space="preserve">signálem „POŽÁRNÍ POPLACH“, vyhlašovaný přerušovaným tónem sirény po </w:t>
        <w:tab/>
        <w:tab/>
        <w:tab/>
        <w:t xml:space="preserve">dobu jedné minuty (25 sec. tón - 10 sec. pauza - 25 sec. tón) nebo místním </w:t>
        <w:tab/>
        <w:tab/>
        <w:tab/>
        <w:t xml:space="preserve">rozhlasem. </w:t>
      </w:r>
    </w:p>
    <w:p>
      <w:pPr>
        <w:pStyle w:val="NormalWeb"/>
        <w:tabs>
          <w:tab w:val="clear" w:pos="720"/>
          <w:tab w:val="left" w:pos="576" w:leader="none"/>
          <w:tab w:val="left" w:pos="984" w:leader="none"/>
        </w:tabs>
        <w:spacing w:before="0" w:after="0"/>
        <w:ind w:left="0" w:right="0" w:hanging="0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  <w:tab/>
      </w:r>
    </w:p>
    <w:p>
      <w:pPr>
        <w:pStyle w:val="NormalWeb"/>
        <w:tabs>
          <w:tab w:val="clear" w:pos="720"/>
          <w:tab w:val="left" w:pos="576" w:leader="none"/>
          <w:tab w:val="left" w:pos="984" w:leader="none"/>
        </w:tabs>
        <w:spacing w:before="0" w:after="0"/>
        <w:ind w:left="0" w:right="0" w:hanging="0"/>
        <w:jc w:val="both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</w:rPr>
        <w:tab/>
        <w:t xml:space="preserve">b)  </w:t>
        <w:tab/>
      </w:r>
      <w:r>
        <w:rPr>
          <w:rFonts w:cs="Arial" w:ascii="Calibri" w:hAnsi="Calibri"/>
          <w:color w:val="auto"/>
          <w:sz w:val="24"/>
          <w:szCs w:val="24"/>
        </w:rPr>
        <w:t>v případě poruchy technických zařízení pro vyhlášení požárního poplachu se</w:t>
      </w:r>
    </w:p>
    <w:p>
      <w:pPr>
        <w:pStyle w:val="NormalWeb"/>
        <w:tabs>
          <w:tab w:val="clear" w:pos="720"/>
          <w:tab w:val="left" w:pos="576" w:leader="none"/>
          <w:tab w:val="left" w:pos="984" w:leader="none"/>
        </w:tabs>
        <w:spacing w:before="0" w:after="0"/>
        <w:ind w:left="0" w:right="0" w:hanging="0"/>
        <w:jc w:val="both"/>
        <w:rPr>
          <w:rFonts w:ascii="Calibri" w:hAnsi="Calibri" w:cs="Arial"/>
          <w:color w:val="auto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ab/>
        <w:tab/>
        <w:t xml:space="preserve">požární poplach v obci vyhlašuje městským rozhlasem či případně ještě </w:t>
        <w:tab/>
        <w:tab/>
        <w:tab/>
        <w:t xml:space="preserve">dopravním prostředkem vybaveným audiotechnikou (megafonem, tlampačem </w:t>
        <w:tab/>
        <w:tab/>
        <w:t>apod.)</w:t>
      </w:r>
    </w:p>
    <w:p>
      <w:pPr>
        <w:pStyle w:val="Nadpis4"/>
        <w:ind w:hanging="0"/>
        <w:jc w:val="center"/>
        <w:rPr>
          <w:rFonts w:ascii="Calibri" w:hAnsi="Calibri" w:cs="Aria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Arial"/>
          <w:b/>
          <w:bCs/>
          <w:i w:val="false"/>
          <w:iCs w:val="false"/>
          <w:sz w:val="24"/>
          <w:szCs w:val="24"/>
        </w:rPr>
        <w:t>Čl. 9</w:t>
      </w:r>
    </w:p>
    <w:p>
      <w:pPr>
        <w:pStyle w:val="Nzevzkona"/>
        <w:spacing w:before="0" w:after="60"/>
        <w:ind w:hanging="0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Seznam sil a prostředků jednotek požární ochrany</w:t>
      </w:r>
    </w:p>
    <w:p>
      <w:pPr>
        <w:pStyle w:val="NormalWeb"/>
        <w:spacing w:before="0" w:after="0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Web"/>
        <w:spacing w:before="0" w:after="0"/>
        <w:ind w:left="0" w:right="0" w:hanging="0"/>
        <w:rPr>
          <w:rFonts w:ascii="Calibri" w:hAnsi="Calibri"/>
        </w:rPr>
      </w:pPr>
      <w:r>
        <w:rPr>
          <w:rFonts w:cs="Arial" w:ascii="Calibri" w:hAnsi="Calibri"/>
          <w:sz w:val="24"/>
          <w:szCs w:val="24"/>
        </w:rPr>
        <w:t xml:space="preserve">Seznam sil a prostředků jednotek požární ochrany podle výpisu z požárního poplachového plánu </w:t>
      </w:r>
      <w:r>
        <w:rPr>
          <w:rFonts w:cs="Arial" w:ascii="Calibri" w:hAnsi="Calibri"/>
          <w:color w:val="000000"/>
          <w:sz w:val="24"/>
          <w:szCs w:val="24"/>
        </w:rPr>
        <w:t>Plzeňského</w:t>
      </w:r>
      <w:r>
        <w:rPr>
          <w:rFonts w:cs="Arial" w:ascii="Calibri" w:hAnsi="Calibri"/>
          <w:sz w:val="24"/>
          <w:szCs w:val="24"/>
        </w:rPr>
        <w:t xml:space="preserve"> kraje je uveden v příloze </w:t>
      </w:r>
      <w:r>
        <w:rPr>
          <w:rFonts w:cs="Arial" w:ascii="Calibri" w:hAnsi="Calibri"/>
          <w:color w:val="000000"/>
          <w:sz w:val="24"/>
          <w:szCs w:val="24"/>
          <w:shd w:fill="auto" w:val="clear"/>
        </w:rPr>
        <w:t>č. 1</w:t>
      </w:r>
      <w:r>
        <w:rPr>
          <w:rFonts w:cs="Arial" w:ascii="Calibri" w:hAnsi="Calibri"/>
          <w:color w:val="auto"/>
          <w:sz w:val="24"/>
          <w:szCs w:val="24"/>
        </w:rPr>
        <w:t xml:space="preserve"> vyhlášky.</w:t>
      </w:r>
    </w:p>
    <w:p>
      <w:pPr>
        <w:pStyle w:val="Nadpis4"/>
        <w:ind w:hanging="0"/>
        <w:jc w:val="center"/>
        <w:rPr>
          <w:rFonts w:ascii="Calibri" w:hAnsi="Calibri" w:cs="Aria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Arial"/>
          <w:b/>
          <w:bCs/>
          <w:i w:val="false"/>
          <w:iCs w:val="false"/>
          <w:sz w:val="24"/>
          <w:szCs w:val="24"/>
        </w:rPr>
        <w:t>Čl. 10</w:t>
      </w:r>
    </w:p>
    <w:p>
      <w:pPr>
        <w:pStyle w:val="Tlotextu"/>
        <w:spacing w:before="0" w:after="0"/>
        <w:jc w:val="center"/>
        <w:rPr>
          <w:rFonts w:ascii="Calibri" w:hAnsi="Calibri" w:cs="Arial"/>
          <w:b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  <w:t>Zrušovací ustanovení</w:t>
      </w:r>
    </w:p>
    <w:p>
      <w:pPr>
        <w:pStyle w:val="Tlotextu"/>
        <w:spacing w:before="0" w:after="0"/>
        <w:jc w:val="center"/>
        <w:rPr>
          <w:rFonts w:ascii="Calibri" w:hAnsi="Calibri" w:cs="Arial"/>
          <w:b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</w:r>
    </w:p>
    <w:p>
      <w:pPr>
        <w:pStyle w:val="Seznamoslovan"/>
        <w:spacing w:before="0" w:after="0"/>
        <w:ind w:left="0" w:right="0" w:hanging="0"/>
        <w:rPr>
          <w:rFonts w:ascii="Calibri" w:hAnsi="Calibri"/>
        </w:rPr>
      </w:pPr>
      <w:r>
        <w:rPr>
          <w:rFonts w:cs="Arial" w:ascii="Calibri" w:hAnsi="Calibri"/>
          <w:sz w:val="24"/>
          <w:szCs w:val="24"/>
        </w:rPr>
        <w:t xml:space="preserve">Touto vyhláškou se ruší obecně závazná vyhláška č. 1/2014, Požární řád obce, ze dne </w:t>
      </w:r>
      <w:r>
        <w:rPr>
          <w:rFonts w:cs="Arial" w:ascii="Calibri" w:hAnsi="Calibri"/>
          <w:color w:val="000000"/>
          <w:sz w:val="24"/>
          <w:szCs w:val="24"/>
        </w:rPr>
        <w:t>05.03.2014.</w:t>
      </w:r>
    </w:p>
    <w:p>
      <w:pPr>
        <w:pStyle w:val="Seznamoslovan"/>
        <w:spacing w:before="0" w:after="0"/>
        <w:ind w:left="0" w:right="0" w:hanging="0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adpis4"/>
        <w:ind w:hanging="0"/>
        <w:jc w:val="center"/>
        <w:rPr>
          <w:b/>
          <w:b/>
          <w:bCs/>
          <w:i w:val="false"/>
          <w:i w:val="false"/>
          <w:iCs w:val="false"/>
        </w:rPr>
      </w:pPr>
      <w:r>
        <w:rPr>
          <w:rFonts w:cs="Arial"/>
          <w:b/>
          <w:bCs/>
          <w:i w:val="false"/>
          <w:iCs w:val="false"/>
          <w:sz w:val="24"/>
          <w:szCs w:val="24"/>
        </w:rPr>
        <w:t>Čl. 11</w:t>
      </w:r>
    </w:p>
    <w:p>
      <w:pPr>
        <w:pStyle w:val="Normal"/>
        <w:jc w:val="center"/>
        <w:rPr>
          <w:rFonts w:ascii="Calibri" w:hAnsi="Calibri" w:cs="Arial"/>
          <w:b/>
          <w:b/>
          <w:bCs/>
          <w:sz w:val="24"/>
          <w:szCs w:val="24"/>
        </w:rPr>
      </w:pPr>
      <w:r>
        <w:rPr>
          <w:rFonts w:cs="Arial" w:ascii="Calibri" w:hAnsi="Calibri"/>
          <w:b/>
          <w:bCs/>
          <w:sz w:val="24"/>
          <w:szCs w:val="24"/>
        </w:rPr>
        <w:t>Účinnost</w:t>
      </w:r>
    </w:p>
    <w:p>
      <w:pPr>
        <w:pStyle w:val="Normal"/>
        <w:jc w:val="center"/>
        <w:rPr>
          <w:rFonts w:ascii="Calibri" w:hAnsi="Calibri" w:cs="Arial"/>
          <w:b/>
          <w:b/>
          <w:bCs/>
          <w:sz w:val="24"/>
          <w:szCs w:val="24"/>
        </w:rPr>
      </w:pPr>
      <w:r>
        <w:rPr>
          <w:rFonts w:cs="Arial" w:ascii="Calibri" w:hAnsi="Calibri"/>
          <w:b/>
          <w:bCs/>
          <w:sz w:val="24"/>
          <w:szCs w:val="24"/>
        </w:rPr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88" w:before="120" w:after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88" w:before="120" w:after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0" w:after="120"/>
        <w:rPr>
          <w:rFonts w:ascii="Calibri" w:hAnsi="Calibri"/>
        </w:rPr>
      </w:pPr>
      <w:r>
        <w:rPr>
          <w:rFonts w:cs="Arial" w:ascii="Calibri" w:hAnsi="Calibri"/>
          <w:sz w:val="22"/>
          <w:szCs w:val="22"/>
        </w:rPr>
        <w:t xml:space="preserve"> </w:t>
      </w:r>
      <w:r>
        <w:rPr>
          <w:rFonts w:cs="Arial" w:ascii="Calibri" w:hAnsi="Calibri"/>
          <w:i/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center" w:pos="1116" w:leader="none"/>
          <w:tab w:val="center" w:pos="7788" w:leader="none"/>
        </w:tabs>
        <w:spacing w:before="0" w:after="120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  <w:t>...................................</w:t>
        <w:tab/>
        <w:t>...................................</w:t>
      </w:r>
    </w:p>
    <w:p>
      <w:pPr>
        <w:pStyle w:val="Normal"/>
        <w:tabs>
          <w:tab w:val="clear" w:pos="720"/>
          <w:tab w:val="center" w:pos="1116" w:leader="none"/>
          <w:tab w:val="center" w:pos="7788" w:leader="none"/>
        </w:tabs>
        <w:spacing w:before="0" w:after="120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  <w:t>Ing. Radek Wiesner, v.r.</w:t>
        <w:tab/>
        <w:t>Ing. Pavel Faschingbauer, v.r.</w:t>
        <w:tab/>
        <w:t>starosta</w:t>
        <w:tab/>
        <w:t>místostarosta</w:t>
        <w:tab/>
        <w:tab/>
        <w:tab/>
        <w:tab/>
        <w:tab/>
        <w:tab/>
        <w:tab/>
        <w:t xml:space="preserve"> </w:t>
      </w:r>
    </w:p>
    <w:p>
      <w:pPr>
        <w:pStyle w:val="Normal"/>
        <w:tabs>
          <w:tab w:val="clear" w:pos="720"/>
          <w:tab w:val="center" w:pos="1116" w:leader="none"/>
          <w:tab w:val="center" w:pos="7788" w:leader="none"/>
        </w:tabs>
        <w:jc w:val="both"/>
        <w:rPr>
          <w:rFonts w:ascii="Calibri" w:hAnsi="Calibri" w:cs="Arial"/>
          <w:b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spacing w:before="0"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120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  <w:t>Příloha č. 1 k obecně závazné vyhlášce</w:t>
      </w:r>
      <w:r>
        <w:rPr>
          <w:rFonts w:cs="Arial" w:ascii="Calibri" w:hAnsi="Calibri"/>
          <w:b/>
          <w:sz w:val="24"/>
          <w:szCs w:val="24"/>
          <w:shd w:fill="auto" w:val="clear"/>
        </w:rPr>
        <w:t xml:space="preserve">, </w:t>
      </w:r>
      <w:r>
        <w:rPr>
          <w:rFonts w:cs="Arial" w:ascii="Calibri" w:hAnsi="Calibri"/>
          <w:b/>
          <w:sz w:val="24"/>
          <w:szCs w:val="24"/>
        </w:rPr>
        <w:t>kterou se vydává požární řád města</w:t>
      </w:r>
    </w:p>
    <w:p>
      <w:pPr>
        <w:pStyle w:val="Normal"/>
        <w:spacing w:before="0" w:after="12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Seznam sil a prostředků jednotek požární ochrany z požárního poplachového plánu Plzeňského kraje</w:t>
      </w:r>
    </w:p>
    <w:p>
      <w:pPr>
        <w:pStyle w:val="Normal"/>
        <w:spacing w:before="0" w:after="120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0" w:after="120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  <w:t>Příloha č. 2 k obecně závazné vyhlášce, kterou se vydává požární řád města</w:t>
      </w:r>
    </w:p>
    <w:p>
      <w:pPr>
        <w:pStyle w:val="Normal"/>
        <w:spacing w:before="0" w:after="12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Požární technika a věcné prostředky požární ochrany JSDH města</w:t>
      </w:r>
    </w:p>
    <w:p>
      <w:pPr>
        <w:pStyle w:val="Normal"/>
        <w:spacing w:before="0" w:after="12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0" w:after="120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  <w:t>Příloha č. 3 k obecně závazné vyhlášce, kterou se vydává požární řád města</w:t>
      </w:r>
    </w:p>
    <w:p>
      <w:pPr>
        <w:pStyle w:val="Normal"/>
        <w:numPr>
          <w:ilvl w:val="0"/>
          <w:numId w:val="10"/>
        </w:numPr>
        <w:spacing w:before="0" w:after="12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Přehled zdrojů vody (výpis z nařízení kraje)</w:t>
      </w:r>
    </w:p>
    <w:p>
      <w:pPr>
        <w:pStyle w:val="Normal"/>
        <w:numPr>
          <w:ilvl w:val="0"/>
          <w:numId w:val="10"/>
        </w:numPr>
        <w:spacing w:before="0" w:after="12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Přehled zdrojů vody (nad rámec nařízení kraje)</w:t>
      </w:r>
    </w:p>
    <w:p>
      <w:pPr>
        <w:pStyle w:val="Normal"/>
        <w:numPr>
          <w:ilvl w:val="0"/>
          <w:numId w:val="10"/>
        </w:numPr>
        <w:spacing w:before="0" w:after="120"/>
        <w:jc w:val="both"/>
        <w:rPr>
          <w:rFonts w:ascii="Calibri" w:hAnsi="Calibri"/>
        </w:rPr>
      </w:pPr>
      <w:r>
        <w:rPr>
          <w:rFonts w:cs="Arial" w:ascii="Calibri" w:hAnsi="Calibri"/>
          <w:sz w:val="24"/>
          <w:szCs w:val="24"/>
        </w:rPr>
        <w:t>Plánek města s vyznačením zdrojů vody pro hašení požárů</w:t>
      </w:r>
      <w:r>
        <w:br w:type="page"/>
      </w:r>
    </w:p>
    <w:p>
      <w:pPr>
        <w:pStyle w:val="NormalWeb"/>
        <w:spacing w:before="0" w:after="0"/>
        <w:ind w:left="0" w:right="0" w:hanging="0"/>
        <w:jc w:val="right"/>
        <w:rPr>
          <w:rFonts w:ascii="Calibri" w:hAnsi="Calibri"/>
        </w:rPr>
      </w:pPr>
      <w:r>
        <w:rPr>
          <w:rFonts w:eastAsia="Times New Roman" w:cs="Arial" w:ascii="Calibri" w:hAnsi="Calibri"/>
          <w:b/>
          <w:color w:val="auto"/>
          <w:kern w:val="0"/>
          <w:sz w:val="22"/>
          <w:szCs w:val="22"/>
          <w:u w:val="single"/>
          <w:lang w:val="cs-CZ" w:eastAsia="cs-CZ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rFonts w:ascii="Calibri" w:hAnsi="Calibri" w:eastAsia="Times New Roman" w:cs="Arial"/>
          <w:b/>
          <w:b/>
          <w:color w:val="auto"/>
          <w:kern w:val="0"/>
          <w:sz w:val="22"/>
          <w:szCs w:val="22"/>
          <w:u w:val="single"/>
          <w:lang w:val="cs-CZ" w:eastAsia="cs-CZ" w:bidi="ar-SA"/>
        </w:rPr>
      </w:pPr>
      <w:r>
        <w:rPr>
          <w:rFonts w:eastAsia="Times New Roman" w:cs="Arial" w:ascii="Calibri" w:hAnsi="Calibri"/>
          <w:b/>
          <w:color w:val="auto"/>
          <w:kern w:val="0"/>
          <w:sz w:val="22"/>
          <w:szCs w:val="22"/>
          <w:u w:val="single"/>
          <w:lang w:val="cs-CZ" w:eastAsia="cs-CZ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rFonts w:ascii="Calibri" w:hAnsi="Calibri" w:eastAsia="Times New Roman" w:cs="Arial"/>
          <w:b/>
          <w:b/>
          <w:color w:val="auto"/>
          <w:kern w:val="0"/>
          <w:sz w:val="22"/>
          <w:szCs w:val="22"/>
          <w:u w:val="single"/>
          <w:lang w:val="cs-CZ" w:eastAsia="cs-CZ" w:bidi="ar-SA"/>
        </w:rPr>
      </w:pPr>
      <w:r>
        <w:rPr>
          <w:rFonts w:eastAsia="Times New Roman" w:cs="Arial" w:ascii="Calibri" w:hAnsi="Calibri"/>
          <w:b/>
          <w:color w:val="auto"/>
          <w:kern w:val="0"/>
          <w:sz w:val="22"/>
          <w:szCs w:val="22"/>
          <w:u w:val="single"/>
          <w:lang w:val="cs-CZ" w:eastAsia="cs-CZ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rFonts w:ascii="Calibri" w:hAnsi="Calibri" w:eastAsia="Times New Roman" w:cs="Arial"/>
          <w:b/>
          <w:b/>
          <w:color w:val="auto"/>
          <w:kern w:val="0"/>
          <w:sz w:val="22"/>
          <w:szCs w:val="22"/>
          <w:u w:val="single"/>
          <w:lang w:val="cs-CZ" w:eastAsia="cs-CZ" w:bidi="ar-SA"/>
        </w:rPr>
      </w:pPr>
      <w:r>
        <w:rPr>
          <w:rFonts w:eastAsia="Times New Roman" w:cs="Arial" w:ascii="Calibri" w:hAnsi="Calibri"/>
          <w:b/>
          <w:color w:val="auto"/>
          <w:kern w:val="0"/>
          <w:sz w:val="22"/>
          <w:szCs w:val="22"/>
          <w:u w:val="single"/>
          <w:lang w:val="cs-CZ" w:eastAsia="cs-CZ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rFonts w:ascii="Calibri" w:hAnsi="Calibri" w:eastAsia="Times New Roman" w:cs="Arial"/>
          <w:b/>
          <w:b/>
          <w:color w:val="auto"/>
          <w:kern w:val="0"/>
          <w:sz w:val="22"/>
          <w:szCs w:val="22"/>
          <w:u w:val="single"/>
          <w:lang w:val="cs-CZ" w:eastAsia="cs-CZ" w:bidi="ar-SA"/>
        </w:rPr>
      </w:pPr>
      <w:r>
        <w:rPr>
          <w:rFonts w:eastAsia="Times New Roman" w:cs="Arial" w:ascii="Calibri" w:hAnsi="Calibri"/>
          <w:b/>
          <w:color w:val="auto"/>
          <w:kern w:val="0"/>
          <w:sz w:val="22"/>
          <w:szCs w:val="22"/>
          <w:u w:val="single"/>
          <w:lang w:val="cs-CZ" w:eastAsia="cs-CZ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rFonts w:ascii="Calibri" w:hAnsi="Calibri" w:eastAsia="Times New Roman" w:cs="Arial"/>
          <w:b/>
          <w:b/>
          <w:color w:val="auto"/>
          <w:kern w:val="0"/>
          <w:sz w:val="22"/>
          <w:szCs w:val="22"/>
          <w:u w:val="single"/>
          <w:lang w:val="cs-CZ" w:eastAsia="cs-CZ" w:bidi="ar-SA"/>
        </w:rPr>
      </w:pPr>
      <w:r>
        <w:rPr>
          <w:rFonts w:eastAsia="Times New Roman" w:cs="Arial" w:ascii="Calibri" w:hAnsi="Calibri"/>
          <w:b/>
          <w:color w:val="auto"/>
          <w:kern w:val="0"/>
          <w:sz w:val="22"/>
          <w:szCs w:val="22"/>
          <w:u w:val="single"/>
          <w:lang w:val="cs-CZ" w:eastAsia="cs-CZ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rFonts w:ascii="Calibri" w:hAnsi="Calibri" w:eastAsia="Times New Roman" w:cs="Arial"/>
          <w:b/>
          <w:b/>
          <w:color w:val="auto"/>
          <w:kern w:val="0"/>
          <w:sz w:val="22"/>
          <w:szCs w:val="22"/>
          <w:u w:val="single"/>
          <w:lang w:val="cs-CZ" w:eastAsia="cs-CZ" w:bidi="ar-SA"/>
        </w:rPr>
      </w:pPr>
      <w:r>
        <w:rPr>
          <w:rFonts w:eastAsia="Times New Roman" w:cs="Arial" w:ascii="Calibri" w:hAnsi="Calibri"/>
          <w:b/>
          <w:color w:val="auto"/>
          <w:kern w:val="0"/>
          <w:sz w:val="22"/>
          <w:szCs w:val="22"/>
          <w:u w:val="single"/>
          <w:lang w:val="cs-CZ" w:eastAsia="cs-CZ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rFonts w:ascii="Calibri" w:hAnsi="Calibri" w:eastAsia="Times New Roman" w:cs="Arial"/>
          <w:b/>
          <w:b/>
          <w:color w:val="auto"/>
          <w:kern w:val="0"/>
          <w:sz w:val="22"/>
          <w:szCs w:val="22"/>
          <w:u w:val="single"/>
          <w:lang w:val="cs-CZ" w:eastAsia="cs-CZ" w:bidi="ar-SA"/>
        </w:rPr>
      </w:pPr>
      <w:r>
        <w:rPr>
          <w:rFonts w:eastAsia="Times New Roman" w:cs="Arial" w:ascii="Calibri" w:hAnsi="Calibri"/>
          <w:b/>
          <w:color w:val="auto"/>
          <w:kern w:val="0"/>
          <w:sz w:val="22"/>
          <w:szCs w:val="22"/>
          <w:u w:val="single"/>
          <w:lang w:val="cs-CZ" w:eastAsia="cs-CZ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rFonts w:ascii="Calibri" w:hAnsi="Calibri" w:eastAsia="Times New Roman" w:cs="Arial"/>
          <w:b/>
          <w:b/>
          <w:color w:val="auto"/>
          <w:kern w:val="0"/>
          <w:sz w:val="22"/>
          <w:szCs w:val="22"/>
          <w:u w:val="single"/>
          <w:lang w:val="cs-CZ" w:eastAsia="cs-CZ" w:bidi="ar-SA"/>
        </w:rPr>
      </w:pPr>
      <w:r>
        <w:rPr>
          <w:rFonts w:eastAsia="Times New Roman" w:cs="Arial" w:ascii="Calibri" w:hAnsi="Calibri"/>
          <w:b/>
          <w:color w:val="auto"/>
          <w:kern w:val="0"/>
          <w:sz w:val="22"/>
          <w:szCs w:val="22"/>
          <w:u w:val="single"/>
          <w:lang w:val="cs-CZ" w:eastAsia="cs-CZ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rFonts w:ascii="Calibri" w:hAnsi="Calibri" w:eastAsia="Times New Roman" w:cs="Arial"/>
          <w:b/>
          <w:b/>
          <w:color w:val="auto"/>
          <w:kern w:val="0"/>
          <w:sz w:val="22"/>
          <w:szCs w:val="22"/>
          <w:u w:val="single"/>
          <w:lang w:val="cs-CZ" w:eastAsia="cs-CZ" w:bidi="ar-SA"/>
        </w:rPr>
      </w:pPr>
      <w:r>
        <w:rPr>
          <w:rFonts w:eastAsia="Times New Roman" w:cs="Arial" w:ascii="Calibri" w:hAnsi="Calibri"/>
          <w:b/>
          <w:color w:val="auto"/>
          <w:kern w:val="0"/>
          <w:sz w:val="22"/>
          <w:szCs w:val="22"/>
          <w:u w:val="single"/>
          <w:lang w:val="cs-CZ" w:eastAsia="cs-CZ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rFonts w:ascii="Calibri" w:hAnsi="Calibri" w:eastAsia="Times New Roman" w:cs="Arial"/>
          <w:b/>
          <w:b/>
          <w:color w:val="auto"/>
          <w:kern w:val="0"/>
          <w:sz w:val="22"/>
          <w:szCs w:val="22"/>
          <w:u w:val="single"/>
          <w:lang w:val="cs-CZ" w:eastAsia="cs-CZ" w:bidi="ar-SA"/>
        </w:rPr>
      </w:pPr>
      <w:r>
        <w:rPr/>
      </w:r>
    </w:p>
    <w:sectPr>
      <w:footnotePr>
        <w:numFmt w:val="decimal"/>
        <w:numRestart w:val="eachSect"/>
      </w:footnotePr>
      <w:type w:val="nextPage"/>
      <w:pgSz w:w="11906" w:h="16838"/>
      <w:pgMar w:left="1417" w:right="141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3">
    <w:p>
      <w:pPr>
        <w:pStyle w:val="Poznmka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Nařízení Plzeňského kraje č. 3/2011 ze dne 11.05.2011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3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revisionView w:insDel="0" w:formatting="0"/>
  <w:embedSystemFonts/>
  <w:defaultTabStop w:val="720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</w:rPr>
  </w:style>
  <w:style w:type="character" w:styleId="DefaultParagraphFont">
    <w:name w:val="Default Paragraph Font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Nadpis4Char">
    <w:name w:val="Nadpis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adpis5Char">
    <w:name w:val="Nadpis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extpoznpodarouChar">
    <w:name w:val="Text pozn. pod čarou Char"/>
    <w:qFormat/>
    <w:rPr/>
  </w:style>
  <w:style w:type="character" w:styleId="NzevChar">
    <w:name w:val="Název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Zkladntext3Char">
    <w:name w:val="Základní text 3 Char"/>
    <w:qFormat/>
    <w:rPr>
      <w:sz w:val="16"/>
      <w:szCs w:val="16"/>
    </w:rPr>
  </w:style>
  <w:style w:type="character" w:styleId="Nadpis7Char">
    <w:name w:val="Nadpis 7 Char"/>
    <w:qFormat/>
    <w:rPr>
      <w:rFonts w:ascii="Calibri" w:hAnsi="Calibri" w:eastAsia="Times New Roman" w:cs="Times New Roman"/>
      <w:sz w:val="24"/>
      <w:szCs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lovndk">
    <w:name w:val="Číslování řádků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Odsazentlatextu">
    <w:name w:val="Body Text Indent"/>
    <w:basedOn w:val="Normal"/>
    <w:pPr>
      <w:ind w:left="708" w:right="0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right="0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pPr/>
    <w:rPr>
      <w:sz w:val="20"/>
      <w:szCs w:val="20"/>
    </w:rPr>
  </w:style>
  <w:style w:type="paragraph" w:styleId="NormlnIMP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20"/>
        <w:tab w:val="left" w:pos="540" w:leader="none"/>
      </w:tabs>
      <w:ind w:left="540" w:right="0" w:hanging="540"/>
      <w:jc w:val="both"/>
    </w:pPr>
    <w:rPr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  <w:ind w:left="0" w:right="0" w:firstLine="500"/>
      <w:jc w:val="both"/>
    </w:pPr>
    <w:rPr>
      <w:color w:val="000000"/>
    </w:rPr>
  </w:style>
  <w:style w:type="paragraph" w:styleId="Nzevzkona">
    <w:name w:val="název zákona"/>
    <w:basedOn w:val="Nzev"/>
    <w:qFormat/>
    <w:pPr>
      <w:outlineLvl w:val="9"/>
    </w:pPr>
    <w:rPr/>
  </w:style>
  <w:style w:type="paragraph" w:styleId="Nzev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Seznamoslovan">
    <w:name w:val="Seznam očíslovaný"/>
    <w:basedOn w:val="Tlotextu"/>
    <w:qFormat/>
    <w:pPr>
      <w:widowControl w:val="false"/>
      <w:spacing w:before="0" w:after="113"/>
      <w:ind w:left="425" w:right="0" w:hanging="424"/>
      <w:jc w:val="both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  <w:lang w:val="en-GB" w:eastAsia="en-US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Hlava">
    <w:name w:val="Hlava"/>
    <w:basedOn w:val="Normal"/>
    <w:qFormat/>
    <w:pPr>
      <w:spacing w:before="240" w:after="0"/>
      <w:jc w:val="center"/>
    </w:pPr>
    <w:rPr/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Application>LibreOffice/7.2.5.2$Windows_X86_64 LibreOffice_project/499f9727c189e6ef3471021d6132d4c694f357e5</Application>
  <AppVersion>15.0000</AppVersion>
  <Pages>5</Pages>
  <Words>1142</Words>
  <Characters>6483</Characters>
  <CharactersWithSpaces>7609</CharactersWithSpaces>
  <Paragraphs>65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2022-06-20T07:03:00Z</dcterms:created>
  <dc:creator>DA210036</dc:creator>
  <dc:description/>
  <dc:language>cs-CZ</dc:language>
  <cp:lastModifiedBy/>
  <cp:lastPrinted>2022-12-19T12:09:03Z</cp:lastPrinted>
  <dcterms:modified xsi:type="dcterms:W3CDTF">2022-12-21T07:13:51Z</dcterms:modified>
  <cp:revision>30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