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Obecně závazná vyhláška č. 4 / 2006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 stanovení podmínek pro pořádání a průběh akcí typu technopárty a o zabezpečení</w:t>
        <w:br/>
        <w:t>místních záležitostí veřejného pořádku v souvislosti s jejich konáním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Zastupitelstvo Milovice se na svém zasedání dne 10.2006 usnesením usneslo vydat podle § 10 písm. a) a b) zákona č. 128/2000 Sb., o obcích (obecní zřízení), ve znění zákona č. 313/2002 Sb., a § 84 odst. 2 písm. i) zákona č. 128/2000 Sb., o obcích (obecní zřízení), ve znění pozdějších předpisů, tuto obecně závaznou vyhlášku (dále jen „vyhláška“):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1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bookmarkStart w:id="1" w:name="bookmark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 vyhlášky</w:t>
      </w:r>
      <w:bookmarkEnd w:id="0"/>
      <w:bookmarkEnd w:id="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5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Účelem této vyhlášky je stanovit v souladu s § 10 písm. a) a písm. b) obecního zřízení povinnosti pro pořádání, průběh a ukončení akcí typu technopárty v rozsahu nezbytném k zajištění veřejného pořádku, zejména s cílem umožnit součinnost orgánů veřejné správy při zajišťování veřejného pořádku v souvislosti s pořádáním těchto akcí.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2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2" w:name="bookmark2"/>
      <w:bookmarkStart w:id="3" w:name="bookmark3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Akce typu technopárty</w:t>
      </w:r>
      <w:bookmarkEnd w:id="2"/>
      <w:bookmarkEnd w:id="3"/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2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Akcí typu technopárty se pro účely této vyhlášky rozumí akce s předpokládanou účastí nejméně 100 osob , která od svého zahájení do svého ukončení, včetně přestávek a přerušení, přesáhne dobu jednoho dne, a při kterém může docházet k obtěžování jiných osob nad míru přiměřenou poměrům zejména hlukem, prachem, světlem nebo vibracemi, pokud se na takovou akci nevztahují zvláštní právní předpisy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1)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32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 akce typu technopárty se nepovažuje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6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karnevaly, dětské a sportovní dny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56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městské slavnosti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2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Organizátorem akce typu technopárty je osoba, která podala oznámení podle článku 4, jinak osoba, která zajistila právo užívat pozemek nebo stavbu, kde se má akce typu technopárty konat (článek 4 odstavec 2 písm. a/).</w:t>
      </w:r>
    </w:p>
    <w:p>
      <w:pPr>
        <w:pStyle w:val="Style4"/>
        <w:keepNext w:val="0"/>
        <w:keepLines w:val="0"/>
        <w:widowControl w:val="0"/>
        <w:numPr>
          <w:ilvl w:val="0"/>
          <w:numId w:val="7"/>
        </w:numPr>
        <w:shd w:val="clear" w:color="auto" w:fill="auto"/>
        <w:tabs>
          <w:tab w:pos="1123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Vzhledem ke svému rozsahu se akce typu technopárty považuje za činnost, jež může narušit veřejný pořádek v obci nebo být v rozporu s dobrými mravy, ochranou bezpečnosti, zdraví a majetku.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74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vertAlign w:val="superscript"/>
          <w:lang w:val="cs-CZ" w:eastAsia="cs-CZ" w:bidi="cs-CZ"/>
        </w:rPr>
        <w:t>1)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Např. zákonem č. 84/1990 Sb., o právu shromažďovacím, ve znění pozdějších předpisů.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3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Vymezení veřejných prostranství a času pro konání akcí typu technopárty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Veřejným prostranstvím jsou dle § 34 zákona č. 128/2000 Sb. náměstí, ulice, tržiště, chodníky, veřejná zeleň, parky a další prostory přístupné každému bez omezení. Veřejné prostranství je dle této vyhlášky vymezeno v části města Milovice ulicemi Třešňová, Konečná, Družstevní, Ostravská, 5.května, Mírová, Dělnická, Zahradní, Armádní, Lesní, Topolová, Tyršova, Sportovní, Průběžná, Slepá, Komenského, Kaštanová, Italská a v části města Milovice - Benátecká Vrutice dle historických názvů ulicemi a částmi: Ke staré Lysé (nad kapličkou), Pod kapličkou (pod kapličkou na návsi), Za uzlíkovým statkem (ke Staré Lysé), V uličce, Slepá, Hlavní (silice II/272 Lysá nad labem - Jiřice), Vlachova, Pod obecním úřadem, Školní, Ke kálku, Na pastvě (u regulační stanice plynu), Na kozím vršku.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071" w:val="left"/>
        </w:tabs>
        <w:bidi w:val="0"/>
        <w:spacing w:before="0" w:after="1000" w:line="240" w:lineRule="auto"/>
        <w:ind w:left="0" w:right="0" w:firstLine="6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Organizátor je povinen akci typu technopárty přerušit na dobu od 22.00 do 06.00 hodin.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4" w:name="bookmark4"/>
      <w:bookmarkStart w:id="5" w:name="bookmark5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4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Oznamovací povinnost organizátora akce typu technopárty</w:t>
      </w:r>
      <w:bookmarkEnd w:id="4"/>
      <w:bookmarkEnd w:id="5"/>
    </w:p>
    <w:p>
      <w:pPr>
        <w:pStyle w:val="Style4"/>
        <w:keepNext w:val="0"/>
        <w:keepLines w:val="0"/>
        <w:widowControl w:val="0"/>
        <w:numPr>
          <w:ilvl w:val="0"/>
          <w:numId w:val="13"/>
        </w:numPr>
        <w:shd w:val="clear" w:color="auto" w:fill="auto"/>
        <w:tabs>
          <w:tab w:pos="111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Organizátor akce typu technopárty je povinen nejméně 30 dnů před jejím konáním oznámit Městskému úřadu Milovice, ul. 5. května 71, Milovice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příjmení, datum narození, adresu trvalého pobytu a adresu skutečného bydliště organizátora, je-li odlišná od místa jeho trvalého pobytu a je-li organizátorem právnická osoba, svůj název či obchodní firmu, adresu svého sídla a jméno, příjmení, datum narození, adresu trvalého pobytu a adresu skutečného bydliště, je-li odlišná od místa trvalého pobytu, fyzické osoby, která za tuto právnickou osobu jedná,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dobu a místo konání akce typu technopárty, včetně údaje o jejím počátku a ukončení a včetně údaje o případných přestávkách a přerušeních,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předpokládaný počet účastníků této akce,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počet osob zajišťujících pořadatelskou službu a způsob jejich označení,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příjmení, datum narození, adresu trvalého pobytu a adresu skutečného bydliště, je-li odlišná od místa trvalého pobytu, osoby pověřené organizátorem akce k osobní spolupráci s orgány veřejné správy (článek 5 odstavec 4), pokud organizátor akce tuto osobu určí,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příjmení, datum narození, adresu trvalého pobytu a adresu skutečného bydliště, je-li odlišná od místa trvalého pobytu, fyzické osoby, která poskytla k užívání pozemek nebo stavbu, kde se má akce typu technopárty konat (odstavec 2 písm. a/) nebo název či obchodní firmu a adresu sídla právnické osoby, která poskytla k užívání pozemek nebo stavbu, kde se má akce typu technopárty konat (odstavec 2 písm. a/), a jméno, příjmení, datum narození, adresu trvalého pobytu a adresu skutečného bydliště, je-li odlišná od místa trvalého pobytu, fyzické osoby, která za tuto právnickou osobu jedná,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jméno, příjmení, datum narození, adresu trvalého pobytu a adresu skutečného bydliště, je-li odlišná od místa trvalého pobytu, fyzické osoby, která bude plnit povinnosti pořadatele veřejné produkce hudby podle zvláštního právního předpisu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2"/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3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nebo název či obchodní firmu a adresu sídla právnické osoby, která bude plnit povinnosti pořadatele veřejné produkce hudby podle zvláštního právního předpisu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3)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a jméno, příjmení, datum narození, adresu trvalého pobytu a adresu skutečného bydliště, je-li odlišná od místa trvalého pobytu, fyzické osoby, která za tuto právnickou osobu jedná,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lhůtu, ve které zajistí úklid místa konání akce typu technopárty a způsob tohoto úklidu,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zajištění sanitárních zařízení a zásobování pitnou vodou,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zajištění obecných povinností při nakládání s odpady vzniklými při konání akce typu technopárty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4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after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zajištění podmínek stanovených zvláštními právními předpisy v oblasti požární ochrany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5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</w:t>
      </w:r>
    </w:p>
    <w:p>
      <w:pPr>
        <w:pStyle w:val="Style4"/>
        <w:keepNext w:val="0"/>
        <w:keepLines w:val="0"/>
        <w:widowControl w:val="0"/>
        <w:numPr>
          <w:ilvl w:val="0"/>
          <w:numId w:val="15"/>
        </w:numPr>
        <w:shd w:val="clear" w:color="auto" w:fill="auto"/>
        <w:tabs>
          <w:tab w:pos="1071" w:val="left"/>
        </w:tabs>
        <w:bidi w:val="0"/>
        <w:spacing w:before="0" w:line="240" w:lineRule="auto"/>
        <w:ind w:left="1080" w:right="0" w:hanging="36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způsob vymezení prostoru, ve kterém se bude akce typu technopárty konat (článek 5 odstavec 3).</w:t>
      </w:r>
    </w:p>
    <w:p>
      <w:pPr>
        <w:pStyle w:val="Style4"/>
        <w:keepNext w:val="0"/>
        <w:keepLines w:val="0"/>
        <w:widowControl w:val="0"/>
        <w:numPr>
          <w:ilvl w:val="0"/>
          <w:numId w:val="17"/>
        </w:numPr>
        <w:shd w:val="clear" w:color="auto" w:fill="auto"/>
        <w:tabs>
          <w:tab w:pos="1091" w:val="left"/>
        </w:tabs>
        <w:bidi w:val="0"/>
        <w:spacing w:before="0" w:line="240" w:lineRule="auto"/>
        <w:ind w:left="110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rozhodnutí příslušného silničního správního úřadu o povolení ke zvláštnímu užívání pozemních komunikací, koná-li se akce typu technopárty na pozemní komunikaci, k jejímuž užívání je takového rozhodnutí podle zvláštního právního předpisu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 xml:space="preserve">5 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footnoteReference w:id="6"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 třeba.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19" w:val="left"/>
        </w:tabs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Je-li organizátorů více, podává oznámení podle předchozích odstavců jimi určená osoba. V takovém případě se v části oznámení podle odstavce 1 písm. a) uvedou údaje o všech organizátorech.</w:t>
      </w:r>
    </w:p>
    <w:p>
      <w:pPr>
        <w:pStyle w:val="Style4"/>
        <w:keepNext w:val="0"/>
        <w:keepLines w:val="0"/>
        <w:widowControl w:val="0"/>
        <w:numPr>
          <w:ilvl w:val="0"/>
          <w:numId w:val="11"/>
        </w:numPr>
        <w:shd w:val="clear" w:color="auto" w:fill="auto"/>
        <w:tabs>
          <w:tab w:pos="1119" w:val="left"/>
        </w:tabs>
        <w:bidi w:val="0"/>
        <w:spacing w:before="0" w:after="50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Výjimku z povinnosti uvedené v odstavci 1 a 2 může svým usnesením povolit Rada města Milovic. Rada města může svým usnesením též zkrátit lhůtu uvedenou v odstavci 1.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5" w:val="left"/>
        </w:tabs>
        <w:bidi w:val="0"/>
        <w:spacing w:before="0" w:after="0" w:line="233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§ 32 zákona č. 258/2000 Sb., o ochraně veřejného zdraví a o změně některých souvisejících zákonů, ve znění pozdějších předpisů.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55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§ 12 zákona č. 185/2001 Sb., o odpadech a o změně některých dalších zákonů, ve znění pozdějších předpisů.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5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zákon č. 133/1985 Sb., o požární ochraně, ve znění pozdějších předpisů; obecně závazná vyhláška obce vydaná na základě § 29 odst. 1 písm. o) bod 2. zákona o požární ochraně; nařízení kraje vydané na základě § 27 odst. 2 písm. b) bod 5. zákona o požární ochraně.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265" w:val="left"/>
        </w:tabs>
        <w:bidi w:val="0"/>
        <w:spacing w:before="0" w:line="221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§ 25 zákona č. 13/1997 Sb., o pozemních komunikacích, ve znění pozdějších předpisů.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6" w:name="bookmark6"/>
      <w:bookmarkStart w:id="7" w:name="bookmark7"/>
      <w:r>
        <w:rPr>
          <w:b w:val="0"/>
          <w:bCs w:val="0"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5</w:t>
        <w:br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Povinnosti při konání akce typu technopárty</w:t>
      </w:r>
      <w:bookmarkEnd w:id="6"/>
      <w:bookmarkEnd w:id="7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Organizátor akce typu technopárty je povinen zajistit, aby počet osob zajišťujících pořadatelskou službu byl nejméně 5 osob na každých 100 předpokládaných účastníků akce. Organizátor je povinen zajistit, aby po celou dobu konání akce typu technopárty byl v místě jejího konání přítomen počet osob zajišťujících pořadatelskou službu podle skutečného počtu účastníků akce v počtu podle věty první.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(2) Organizátor akce typu technopárty je povinen zajistit, aby osoby zajišťující pořadatelskou službu byly v průběhu konání akce označeny viditelným nápisem „Pořadatelská služba“ (článek 4 odstavec 1 písm. d/).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14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Organizátor akce typu technopárty je povinen na místě, na kterém se bude akce typu technopárty konat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a) viditelným způsobem vyznačit pozemky, na kterých se bude akce typu technopárty konat,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100" w:right="0" w:hanging="3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b) viditelným způsobem vymezit místa, na kterých budou účastníci akce typu technopárty odstavovat svá vozidla,</w:t>
      </w:r>
    </w:p>
    <w:p>
      <w:pPr>
        <w:pStyle w:val="Style4"/>
        <w:keepNext w:val="0"/>
        <w:keepLines w:val="0"/>
        <w:widowControl w:val="0"/>
        <w:numPr>
          <w:ilvl w:val="0"/>
          <w:numId w:val="9"/>
        </w:numPr>
        <w:shd w:val="clear" w:color="auto" w:fill="auto"/>
        <w:tabs>
          <w:tab w:pos="1091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viditelným způsobem označit přístup do míst, kde se bude akce typu technopárty konat.</w:t>
      </w:r>
    </w:p>
    <w:p>
      <w:pPr>
        <w:pStyle w:val="Style4"/>
        <w:keepNext w:val="0"/>
        <w:keepLines w:val="0"/>
        <w:widowControl w:val="0"/>
        <w:numPr>
          <w:ilvl w:val="0"/>
          <w:numId w:val="21"/>
        </w:numPr>
        <w:shd w:val="clear" w:color="auto" w:fill="auto"/>
        <w:tabs>
          <w:tab w:pos="1177" w:val="left"/>
        </w:tabs>
        <w:bidi w:val="0"/>
        <w:spacing w:before="0" w:line="240" w:lineRule="auto"/>
        <w:ind w:left="0" w:right="0" w:firstLine="78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Osoba pověřená podle článku 4 odstavce 1 písm. e) a fyzická osoba podle článku 4 odstavce 1 písm. g) nebo fyzická osoba jednající za právnickou osobu podle článku 4 odst. 1 písm. g), je povinna být po celou dobu konání akce typu technopárty přítomna na místě konání této akce nebo v jejím bezprostředním okolí za účelem komunikace s orgány veřejné správy. Je povinna poskytovat orgánům veřejné správy potřebnou součinnost a spolupráci k zajišťování veřejného pořádku při konání akce typu technopárty.</w:t>
      </w:r>
      <w:r>
        <w:br w:type="page"/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6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8" w:name="bookmark8"/>
      <w:bookmarkStart w:id="9" w:name="bookmark9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Společná ustanovení k povinnostem</w:t>
      </w:r>
      <w:bookmarkEnd w:id="8"/>
      <w:bookmarkEnd w:id="9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Povinnosti uvedené v článku 4 a 5 se vztahují pouze na pořádání veřejnosti přístupných akcí typu technopárty, bez ohledu na to, zda se taková akce koná na veřejném prostranství.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7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3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Sankce za porušení vyhlášky a kontrola plnění povinností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23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(1) Porušení povinností stanovených touto vyhláškou se postihuje podle zvláštních právních předpisů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7)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(2) Dodržování povinností stanovených touto vyhláškou jsou v mezích své pravomoci stanovené zvláštními právními předpisy oprávněny kontrolovat Policie České republiky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8)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, a pověření zaměstnanci města zařazení do Městského úřadu Milovice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9)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9" w:val="left"/>
        </w:tabs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§ 46 odst. 2 zákona č. 200/1990 Sb., o přestupcích, ve znění pozdějších předpisů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(Přestupkem proti pořádku ve věcech územní samosprávy je porušení povinností stanovených v obecně závazných vyhláškách obcí a krajů vydaných na úseku jejich samostatné působnosti. Za přestupek podle odstavců 1 a 2 lze uložit pokutu do 30 000 Kč.).</w:t>
      </w: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 § 57 odst. 4 zákona č. 128/2000 Sb., o obcích (obecní zřízení), ve znění pozdějších předpisů </w:t>
      </w:r>
      <w:r>
        <w:rPr>
          <w:i/>
          <w:iCs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(Obec může uložit pokutu až do výše 200 000 Kč osobě, která porušila povinnost stanovenou právním předpisem obce.).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9" w:val="left"/>
        </w:tabs>
        <w:bidi w:val="0"/>
        <w:spacing w:before="0" w:after="0" w:line="218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§ 2 odst. 2 písm. j) zákona č. 283/1991 Sb., o Policii České republiky, ve znění pozdějších předpisů.</w:t>
      </w:r>
    </w:p>
    <w:p>
      <w:pPr>
        <w:pStyle w:val="Style4"/>
        <w:keepNext w:val="0"/>
        <w:keepLines w:val="0"/>
        <w:widowControl w:val="0"/>
        <w:numPr>
          <w:ilvl w:val="0"/>
          <w:numId w:val="19"/>
        </w:numPr>
        <w:shd w:val="clear" w:color="auto" w:fill="auto"/>
        <w:tabs>
          <w:tab w:pos="304" w:val="left"/>
        </w:tabs>
        <w:bidi w:val="0"/>
        <w:spacing w:before="0" w:after="480" w:line="218" w:lineRule="auto"/>
        <w:ind w:left="0" w:right="0" w:firstLine="0"/>
        <w:jc w:val="both"/>
        <w:rPr>
          <w:sz w:val="20"/>
          <w:szCs w:val="20"/>
        </w:rPr>
      </w:pPr>
      <w:r>
        <w:rPr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>§ 53 odst. 1 zákona č. 200/1990 Sb., o přestupcích, ve znění pozdějších předpisů.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Čl. 8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bookmarkStart w:id="10" w:name="bookmark10"/>
      <w:bookmarkStart w:id="11" w:name="bookmark1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Účinnost</w:t>
      </w:r>
      <w:bookmarkEnd w:id="10"/>
      <w:bookmarkEnd w:id="11"/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Tato obecně závazná vyhláška nabývá účinnosti dnem 25.10 2006.</w:t>
        <w:br/>
        <w:t>Čl. 9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Zrušovací ustanovení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620" w:line="240" w:lineRule="auto"/>
        <w:ind w:left="30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Dnem nabytí účinnosti této obecně závazné vyhlášky se ruší Obecně závazná vyhláška č. 1/2006 ze dne 31.7.2006 o stanovení podmínek pro pořádání a průběh akcí typu technopárty a o zabezpečení místních záležitostí veřejného pořádku v souvislosti s jejich konáním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1320" w:line="240" w:lineRule="auto"/>
        <w:ind w:left="700" w:right="0" w:firstLine="20"/>
        <w:jc w:val="both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4706620</wp:posOffset>
                </wp:positionH>
                <wp:positionV relativeFrom="paragraph">
                  <wp:posOffset>12700</wp:posOffset>
                </wp:positionV>
                <wp:extent cx="1197610" cy="34734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197610" cy="3473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4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18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Milan Kraus starosta města v.r.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0.60000000000002pt;margin-top:1.pt;width:94.299999999999997pt;height:27.3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18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Milan Kraus starosta města v.r.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Miroslava Dlouhá místostarostka v.r.</w:t>
      </w:r>
    </w:p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Vyvěšeno na úřední desce dne: 10.10.2006 Sejmuto z úřední desky dne:</w:t>
      </w:r>
    </w:p>
    <w:sectPr>
      <w:footnotePr>
        <w:pos w:val="pageBottom"/>
        <w:numFmt w:val="decimal"/>
        <w:numStart w:val="2"/>
        <w:numRestart w:val="continuous"/>
        <w15:footnoteColumns w:val="1"/>
      </w:footnotePr>
      <w:pgSz w:w="11900" w:h="16840"/>
      <w:pgMar w:top="1365" w:left="1086" w:right="1090" w:bottom="1215" w:header="937" w:footer="787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  <w:footnote w:id="2">
    <w:p>
      <w:pPr>
        <w:pStyle w:val="Style2"/>
        <w:keepNext w:val="0"/>
        <w:keepLines w:val="0"/>
        <w:widowControl w:val="0"/>
        <w:shd w:val="clear" w:color="auto" w:fill="auto"/>
        <w:tabs>
          <w:tab w:pos="1104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Organizátor akce typu technopárty je v oznámení podle odstavce 1 povinen dále prokázat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1080" w:val="left"/>
        </w:tabs>
        <w:bidi w:val="0"/>
        <w:spacing w:before="0" w:after="0" w:line="240" w:lineRule="auto"/>
        <w:ind w:left="0" w:right="0" w:firstLine="72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právní důvod užívání pozemku nebo stavby, kde se má tato akce konat,</w:t>
      </w:r>
    </w:p>
  </w:footnote>
  <w:footnote w:id="3">
    <w:p>
      <w:pPr>
        <w:pStyle w:val="Style2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100" w:val="left"/>
        </w:tabs>
        <w:bidi w:val="0"/>
        <w:spacing w:before="0" w:after="0" w:line="240" w:lineRule="auto"/>
        <w:ind w:left="11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přístupu k tomuto pozemku či stavbě, včetně právního důvodu opravňujícího organizátora a účastníky akce k tomuto přístupu,</w:t>
      </w:r>
    </w:p>
  </w:footnote>
  <w:footnote w:id="4">
    <w:p>
      <w:pPr>
        <w:pStyle w:val="Style2"/>
        <w:keepNext w:val="0"/>
        <w:keepLines w:val="0"/>
        <w:widowControl w:val="0"/>
        <w:numPr>
          <w:ilvl w:val="0"/>
          <w:numId w:val="5"/>
        </w:numPr>
        <w:shd w:val="clear" w:color="auto" w:fill="auto"/>
        <w:tabs>
          <w:tab w:pos="1100" w:val="left"/>
        </w:tabs>
        <w:bidi w:val="0"/>
        <w:spacing w:before="0" w:after="0" w:line="240" w:lineRule="auto"/>
        <w:ind w:left="1100" w:right="0" w:hanging="3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zajištění míst pro odstavení vozidel účastníků akce, včetně právního důvodu k užívání nemovitosti určené k odstavení těchto vozidel,</w:t>
      </w:r>
    </w:p>
  </w:footnote>
  <w:footnote w:id="5">
    <w:p>
      <w:pPr>
        <w:pStyle w:val="Style2"/>
        <w:keepNext w:val="0"/>
        <w:keepLines w:val="0"/>
        <w:widowControl w:val="0"/>
        <w:shd w:val="clear" w:color="auto" w:fill="auto"/>
        <w:tabs>
          <w:tab w:pos="1099" w:val="left"/>
        </w:tabs>
        <w:bidi w:val="0"/>
        <w:spacing w:before="0" w:after="0" w:line="240" w:lineRule="auto"/>
        <w:ind w:left="0" w:right="0" w:firstLine="72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footnoteRef/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ab/>
        <w:t>V případě narušení pokojného průběhu akce typu technopárty, pokud přes veškerá</w:t>
      </w:r>
    </w:p>
  </w:footnote>
  <w:footnote w:id="6"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učiněná opatření nedojde k obnovení jejího pokojného průběhu prostřednictvím osob, které zajišťují pořadatelskou službu, je organizátor akce povinen bez zbytečného odkladu tuto skutečnost oznámit a požádat o spolupráci obec, na jejímž území tato akce probíhá, nebo Policii České republiky.</w:t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2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4">
    <w:multiLevelType w:val="multilevel"/>
    <w:lvl w:ilvl="0">
      <w:start w:val="100"/>
      <w:numFmt w:val="lowerRoman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6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8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0">
    <w:multiLevelType w:val="multilevel"/>
    <w:lvl w:ilvl="0">
      <w:start w:val="2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2">
    <w:multiLevelType w:val="multilevel"/>
    <w:lvl w:ilvl="0">
      <w:start w:val="1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4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6">
    <w:multiLevelType w:val="multilevel"/>
    <w:lvl w:ilvl="0">
      <w:start w:val="4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abstractNum w:abstractNumId="18">
    <w:multiLevelType w:val="multilevel"/>
    <w:lvl w:ilvl="0">
      <w:start w:val="3"/>
      <w:numFmt w:val="decimal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vertAlign w:val="superscript"/>
        <w:lang w:val="cs-CZ" w:eastAsia="cs-CZ" w:bidi="cs-CZ"/>
      </w:rPr>
    </w:lvl>
  </w:abstractNum>
  <w:abstractNum w:abstractNumId="20">
    <w:multiLevelType w:val="multilevel"/>
    <w:lvl w:ilvl="0">
      <w:start w:val="3"/>
      <w:numFmt w:val="decimal"/>
      <w:lvlText w:val="(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  <w:num w:numId="11">
    <w:abstractNumId w:val="10"/>
  </w:num>
  <w:num w:numId="13">
    <w:abstractNumId w:val="12"/>
  </w:num>
  <w:num w:numId="15">
    <w:abstractNumId w:val="14"/>
  </w:num>
  <w:num w:numId="17">
    <w:abstractNumId w:val="16"/>
  </w:num>
  <w:num w:numId="19">
    <w:abstractNumId w:val="18"/>
  </w:num>
  <w:num w:numId="21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Poznámka pod čarou_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Základní text_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dpis #1_"/>
    <w:basedOn w:val="DefaultParagraphFont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2">
    <w:name w:val="Poznámka pod čarou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Základní text"/>
    <w:basedOn w:val="Normal"/>
    <w:link w:val="CharStyle5"/>
    <w:pPr>
      <w:widowControl w:val="0"/>
      <w:shd w:val="clear" w:color="auto" w:fill="FFFFFF"/>
      <w:spacing w:after="24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dpis #1"/>
    <w:basedOn w:val="Normal"/>
    <w:link w:val="CharStyle8"/>
    <w:pPr>
      <w:widowControl w:val="0"/>
      <w:shd w:val="clear" w:color="auto" w:fill="FFFFFF"/>
      <w:spacing w:after="240"/>
      <w:jc w:val="center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Příloha</dc:title>
  <dc:subject/>
  <dc:creator>Furek</dc:creator>
  <cp:keywords/>
</cp:coreProperties>
</file>