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40" w:after="120"/>
        <w:rPr/>
      </w:pPr>
      <w:r>
        <w:rPr/>
        <w:t>Obec Olbramov</w:t>
        <w:br/>
        <w:t>Zastupitelstvo obce Olbramov</w:t>
      </w:r>
    </w:p>
    <w:p>
      <w:pPr>
        <w:pStyle w:val="Heading1"/>
        <w:bidi w:val="0"/>
        <w:ind w:hanging="0" w:start="0"/>
        <w:rPr/>
      </w:pPr>
      <w:r>
        <w:rPr/>
        <w:t>Obecně závazná vyhláška obce Olbramov</w:t>
        <w:br/>
        <w:t>o stanovení koeficientů daně z nemovitých věcí</w:t>
      </w:r>
    </w:p>
    <w:p>
      <w:pPr>
        <w:pStyle w:val="UvodniVeta"/>
        <w:bidi w:val="0"/>
        <w:rPr/>
      </w:pPr>
      <w:r>
        <w:rPr/>
        <w:t>Zastupitelstvo obce Olbramov se na svém zasedání dne 17. září 2026 usneslo vydat na základě § 12 odst. 1 písm. a) bod 1 a 2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>
      <w:pPr>
        <w:pStyle w:val="Heading2"/>
        <w:bidi w:val="0"/>
        <w:ind w:hanging="0" w:start="0"/>
        <w:rPr/>
      </w:pPr>
      <w:r>
        <w:rPr/>
        <w:t>Čl. 1</w:t>
        <w:br/>
        <w:t>Úvodní ustanovení</w:t>
      </w:r>
    </w:p>
    <w:p>
      <w:pPr>
        <w:pStyle w:val="Odstavec"/>
        <w:bidi w:val="0"/>
        <w:rPr/>
      </w:pPr>
      <w:r>
        <w:rPr/>
        <w:t>Obec Olbramov touto vyhláškou stanovuje:</w:t>
      </w:r>
    </w:p>
    <w:p>
      <w:pPr>
        <w:pStyle w:val="Odstavec"/>
        <w:numPr>
          <w:ilvl w:val="1"/>
          <w:numId w:val="3"/>
        </w:numPr>
        <w:bidi w:val="0"/>
        <w:rPr/>
      </w:pPr>
      <w:r>
        <w:rPr/>
        <w:t>místní koeficient pro obec,</w:t>
      </w:r>
    </w:p>
    <w:p>
      <w:pPr>
        <w:pStyle w:val="Odstavec"/>
        <w:numPr>
          <w:ilvl w:val="1"/>
          <w:numId w:val="2"/>
        </w:numPr>
        <w:bidi w:val="0"/>
        <w:rPr/>
      </w:pPr>
      <w:r>
        <w:rPr/>
        <w:t>místní koeficient pro jednotlivé katastrální území.</w:t>
      </w:r>
    </w:p>
    <w:p>
      <w:pPr>
        <w:pStyle w:val="Heading2"/>
        <w:bidi w:val="0"/>
        <w:ind w:hanging="0" w:start="0"/>
        <w:rPr/>
      </w:pPr>
      <w:r>
        <w:rPr/>
        <w:t>Čl. 2</w:t>
        <w:br/>
        <w:t>Místní koeficient pro obec</w:t>
      </w:r>
    </w:p>
    <w:p>
      <w:pPr>
        <w:pStyle w:val="Odstavec"/>
        <w:numPr>
          <w:ilvl w:val="0"/>
          <w:numId w:val="5"/>
        </w:numPr>
        <w:bidi w:val="0"/>
        <w:rPr/>
      </w:pPr>
      <w:r>
        <w:rPr/>
        <w:t>Obec Olbramov stanovuje místní koeficient pro obec ve výši 1,5.</w:t>
      </w:r>
    </w:p>
    <w:p>
      <w:pPr>
        <w:pStyle w:val="Odstavec"/>
        <w:numPr>
          <w:ilvl w:val="0"/>
          <w:numId w:val="4"/>
        </w:numPr>
        <w:bidi w:val="0"/>
        <w:rPr/>
      </w:pPr>
      <w:r>
        <w:rPr/>
        <w:t>Místní koeficient pro obec se vztahuje na všechny nemovité věci na území celé obce Olbramov s výjimkou pozemků zařazených do skupiny vybraných zemědělských pozemků, trvalých travních porostů nebo nevyužitelných ostatních ploch</w:t>
      </w:r>
      <w:r>
        <w:rPr>
          <w:rStyle w:val="FootnoteReference"/>
        </w:rPr>
        <w:footnoteReference w:id="2"/>
      </w:r>
      <w:r>
        <w:rPr/>
        <w:t>.</w:t>
      </w:r>
    </w:p>
    <w:p>
      <w:pPr>
        <w:pStyle w:val="Odstavec"/>
        <w:numPr>
          <w:ilvl w:val="0"/>
          <w:numId w:val="4"/>
        </w:numPr>
        <w:bidi w:val="0"/>
        <w:rPr/>
      </w:pPr>
      <w:r>
        <w:rPr/>
        <w:t>Pokud se na nemovitou věc vztahuje vedle místního koeficientu pro obec také jiný místní koeficient, místní koeficient pro obec se na ni nepoužije</w:t>
      </w:r>
      <w:r>
        <w:rPr>
          <w:rStyle w:val="FootnoteReference"/>
        </w:rPr>
        <w:footnoteReference w:id="3"/>
      </w:r>
      <w:r>
        <w:rPr/>
        <w:t>.</w:t>
      </w:r>
    </w:p>
    <w:p>
      <w:pPr>
        <w:pStyle w:val="Heading2"/>
        <w:bidi w:val="0"/>
        <w:ind w:hanging="0" w:start="0"/>
        <w:rPr/>
      </w:pPr>
      <w:r>
        <w:rPr/>
        <w:t>Čl. 3</w:t>
        <w:br/>
        <w:t>Místní koeficient pro jednotlivé katastrální území</w:t>
      </w:r>
    </w:p>
    <w:p>
      <w:pPr>
        <w:pStyle w:val="Odstavec"/>
        <w:numPr>
          <w:ilvl w:val="0"/>
          <w:numId w:val="7"/>
        </w:numPr>
        <w:bidi w:val="0"/>
        <w:rPr/>
      </w:pPr>
      <w:r>
        <w:rPr/>
        <w:t>Obec Olbramov touto vyhláškou stanovuje místní koeficient pro jednotlivé katastrální území:</w:t>
      </w:r>
    </w:p>
    <w:p>
      <w:pPr>
        <w:pStyle w:val="Odstavec"/>
        <w:numPr>
          <w:ilvl w:val="1"/>
          <w:numId w:val="8"/>
        </w:numPr>
        <w:bidi w:val="0"/>
        <w:rPr/>
      </w:pPr>
      <w:r>
        <w:rPr/>
        <w:t>Kořen ve výši 1,5,</w:t>
      </w:r>
    </w:p>
    <w:p>
      <w:pPr>
        <w:pStyle w:val="Odstavec"/>
        <w:numPr>
          <w:ilvl w:val="1"/>
          <w:numId w:val="6"/>
        </w:numPr>
        <w:bidi w:val="0"/>
        <w:rPr/>
      </w:pPr>
      <w:r>
        <w:rPr/>
        <w:t>Olbramov ve výši 1,5,</w:t>
      </w:r>
    </w:p>
    <w:p>
      <w:pPr>
        <w:pStyle w:val="Odstavec"/>
        <w:numPr>
          <w:ilvl w:val="1"/>
          <w:numId w:val="6"/>
        </w:numPr>
        <w:bidi w:val="0"/>
        <w:rPr/>
      </w:pPr>
      <w:r>
        <w:rPr/>
        <w:t>Zádub u Olbramova ve výši 2.</w:t>
      </w:r>
    </w:p>
    <w:p>
      <w:pPr>
        <w:pStyle w:val="Odstavec"/>
        <w:numPr>
          <w:ilvl w:val="0"/>
          <w:numId w:val="6"/>
        </w:numPr>
        <w:bidi w:val="0"/>
        <w:rPr/>
      </w:pPr>
      <w:r>
        <w:rPr/>
        <w:t>Místní koeficient pro jednotlivé katastrální území se vztahuje na všechny nemovité věci na území daného katastrálního území s výjimkou pozemků zařazených do skupiny vybraných zemědělských pozemků, trvalých travních porostů nebo nevyužitelných ostatních ploch</w:t>
      </w:r>
      <w:r>
        <w:rPr>
          <w:rStyle w:val="FootnoteReference"/>
        </w:rPr>
        <w:footnoteReference w:id="4"/>
      </w:r>
      <w:r>
        <w:rPr/>
        <w:t>.</w:t>
      </w:r>
    </w:p>
    <w:p>
      <w:pPr>
        <w:pStyle w:val="Heading2"/>
        <w:bidi w:val="0"/>
        <w:ind w:hanging="0" w:start="0"/>
        <w:rPr/>
      </w:pPr>
      <w:r>
        <w:rPr/>
        <w:t>Čl. 4</w:t>
        <w:br/>
        <w:t>Zrušovací ustanovení</w:t>
      </w:r>
    </w:p>
    <w:p>
      <w:pPr>
        <w:pStyle w:val="Odstavec"/>
        <w:bidi w:val="0"/>
        <w:rPr/>
      </w:pPr>
      <w:r>
        <w:rPr/>
        <w:t>Zrušuje se obecně závazná vyhláška č. 1/2008, o stanovení koeficientu pro výpočet daně z nemovitosti, ze dne 14. července 2008.</w:t>
      </w:r>
    </w:p>
    <w:p>
      <w:pPr>
        <w:pStyle w:val="Heading2"/>
        <w:bidi w:val="0"/>
        <w:ind w:hanging="0" w:start="0"/>
        <w:rPr/>
      </w:pPr>
      <w:r>
        <w:rPr/>
        <w:t>Čl. 5</w:t>
        <w:br/>
        <w:t>Účinnost</w:t>
      </w:r>
    </w:p>
    <w:p>
      <w:pPr>
        <w:pStyle w:val="Odstavec"/>
        <w:bidi w:val="0"/>
        <w:rPr/>
      </w:pPr>
      <w:r>
        <w:rPr/>
        <w:t>Tato vyhláška nabývá účinnosti dnem 1. ledna 2027.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20"/>
        <w:gridCol w:w="4821"/>
      </w:tblGrid>
      <w:tr>
        <w:trPr>
          <w:trHeight w:val="1134" w:hRule="exact"/>
        </w:trPr>
        <w:tc>
          <w:tcPr>
            <w:tcW w:w="4820" w:type="dxa"/>
            <w:tcBorders/>
            <w:vAlign w:val="bottom"/>
          </w:tcPr>
          <w:p>
            <w:pPr>
              <w:pStyle w:val="PodpisovePole"/>
              <w:keepNext w:val="true"/>
              <w:bidi w:val="0"/>
              <w:jc w:val="center"/>
              <w:rPr/>
            </w:pPr>
            <w:r>
              <w:rPr/>
              <w:t>Miroslava Vlášková v. r.</w:t>
              <w:br/>
              <w:t xml:space="preserve"> starostka </w:t>
            </w:r>
          </w:p>
        </w:tc>
        <w:tc>
          <w:tcPr>
            <w:tcW w:w="4821" w:type="dxa"/>
            <w:tcBorders/>
            <w:vAlign w:val="bottom"/>
          </w:tcPr>
          <w:p>
            <w:pPr>
              <w:pStyle w:val="PodpisovePole"/>
              <w:bidi w:val="0"/>
              <w:jc w:val="center"/>
              <w:rPr/>
            </w:pPr>
            <w:r>
              <w:rPr/>
              <w:t>Tomáš Rusňák v. r.</w:t>
              <w:br/>
              <w:t xml:space="preserve"> místostarosta </w:t>
            </w:r>
          </w:p>
        </w:tc>
      </w:tr>
      <w:tr>
        <w:trPr>
          <w:trHeight w:val="1134" w:hRule="exact"/>
        </w:trPr>
        <w:tc>
          <w:tcPr>
            <w:tcW w:w="4820" w:type="dxa"/>
            <w:tcBorders/>
            <w:vAlign w:val="bottom"/>
          </w:tcPr>
          <w:p>
            <w:pPr>
              <w:pStyle w:val="PodpisovePole"/>
              <w:bidi w:val="0"/>
              <w:jc w:val="center"/>
              <w:rPr/>
            </w:pPr>
            <w:r>
              <w:rPr/>
            </w:r>
          </w:p>
        </w:tc>
        <w:tc>
          <w:tcPr>
            <w:tcW w:w="4821" w:type="dxa"/>
            <w:tcBorders/>
            <w:vAlign w:val="bottom"/>
          </w:tcPr>
          <w:p>
            <w:pPr>
              <w:pStyle w:val="PodpisovePole"/>
              <w:bidi w:val="0"/>
              <w:jc w:val="center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footnotePr>
        <w:numFmt w:val="decimal"/>
      </w:footnotePr>
      <w:type w:val="nextPage"/>
      <w:pgSz w:w="11909" w:h="16834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uppressLineNumbers/>
        <w:bidi w:val="0"/>
        <w:ind w:hanging="170" w:start="170" w:end="0"/>
        <w:jc w:val="start"/>
        <w:rPr/>
      </w:pPr>
      <w:r>
        <w:rPr>
          <w:rStyle w:val="Znakypropoznmkupodarou"/>
        </w:rPr>
        <w:footnoteRef/>
      </w:r>
      <w:r>
        <w:rPr/>
        <w:tab/>
        <w:t>§ 12ab odst. 1 a 6 zákona o dani z nemovitých věcí.</w:t>
      </w:r>
    </w:p>
  </w:footnote>
  <w:footnote w:id="3">
    <w:p>
      <w:pPr>
        <w:pStyle w:val="FootnoteText"/>
        <w:suppressLineNumbers/>
        <w:bidi w:val="0"/>
        <w:ind w:hanging="170" w:start="170" w:end="0"/>
        <w:jc w:val="start"/>
        <w:rPr/>
      </w:pPr>
      <w:r>
        <w:rPr>
          <w:rStyle w:val="Znakypropoznmkupodarou"/>
        </w:rPr>
        <w:footnoteRef/>
      </w:r>
      <w:r>
        <w:rPr/>
        <w:tab/>
        <w:t>§ 12 odst. 5 zákona o dani z nemovitých věcí.</w:t>
      </w:r>
    </w:p>
  </w:footnote>
  <w:footnote w:id="4">
    <w:p>
      <w:pPr>
        <w:pStyle w:val="FootnoteText"/>
        <w:suppressLineNumbers/>
        <w:bidi w:val="0"/>
        <w:ind w:hanging="170" w:start="170" w:end="0"/>
        <w:jc w:val="start"/>
        <w:rPr/>
      </w:pPr>
      <w:r>
        <w:rPr>
          <w:rStyle w:val="Znakypropoznmkupodarou"/>
        </w:rPr>
        <w:footnoteRef/>
      </w:r>
      <w:r>
        <w:rPr/>
        <w:tab/>
        <w:t>§ 12ab odst. 2 a 6 zákona o dani z nemovitých věcí.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(%1)"/>
      <w:lvlJc w:val="start"/>
      <w:pPr>
        <w:tabs>
          <w:tab w:val="num" w:pos="567"/>
        </w:tabs>
        <w:ind w:start="567" w:hanging="567"/>
      </w:pPr>
      <w:rPr/>
    </w:lvl>
    <w:lvl w:ilvl="1">
      <w:start w:val="1"/>
      <w:numFmt w:val="lowerLetter"/>
      <w:lvlText w:val="%2)"/>
      <w:lvlJc w:val="start"/>
      <w:pPr>
        <w:tabs>
          <w:tab w:val="num" w:pos="964"/>
        </w:tabs>
        <w:ind w:start="964" w:hanging="397"/>
      </w:pPr>
      <w:rPr/>
    </w:lvl>
    <w:lvl w:ilvl="2">
      <w:start w:val="1"/>
      <w:numFmt w:val="decimal"/>
      <w:lvlText w:val="(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(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(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(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(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(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(%9)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(%1)"/>
      <w:lvlJc w:val="start"/>
      <w:pPr>
        <w:tabs>
          <w:tab w:val="num" w:pos="567"/>
        </w:tabs>
        <w:ind w:start="567" w:hanging="567"/>
      </w:pPr>
      <w:rPr/>
    </w:lvl>
    <w:lvl w:ilvl="1">
      <w:start w:val="1"/>
      <w:numFmt w:val="lowerLetter"/>
      <w:lvlText w:val="%2)"/>
      <w:lvlJc w:val="start"/>
      <w:pPr>
        <w:tabs>
          <w:tab w:val="num" w:pos="964"/>
        </w:tabs>
        <w:ind w:start="964" w:hanging="397"/>
      </w:pPr>
      <w:rPr/>
    </w:lvl>
    <w:lvl w:ilvl="2">
      <w:start w:val="1"/>
      <w:numFmt w:val="decimal"/>
      <w:lvlText w:val="(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(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(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(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(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(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(%9)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(%1)"/>
      <w:lvlJc w:val="start"/>
      <w:pPr>
        <w:tabs>
          <w:tab w:val="num" w:pos="567"/>
        </w:tabs>
        <w:ind w:start="567" w:hanging="567"/>
      </w:pPr>
      <w:rPr/>
    </w:lvl>
    <w:lvl w:ilvl="1">
      <w:start w:val="1"/>
      <w:numFmt w:val="lowerLetter"/>
      <w:lvlText w:val="%2)"/>
      <w:lvlJc w:val="start"/>
      <w:pPr>
        <w:tabs>
          <w:tab w:val="num" w:pos="964"/>
        </w:tabs>
        <w:ind w:start="964" w:hanging="397"/>
      </w:pPr>
      <w:rPr/>
    </w:lvl>
    <w:lvl w:ilvl="2">
      <w:start w:val="1"/>
      <w:numFmt w:val="decimal"/>
      <w:lvlText w:val="(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(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(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(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(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(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(%9)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"/>
    <w:next w:val="BodyText"/>
    <w:qFormat/>
    <w:pPr>
      <w:numPr>
        <w:ilvl w:val="0"/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adpis"/>
    <w:next w:val="BodyText"/>
    <w:qFormat/>
    <w:pPr>
      <w:numPr>
        <w:ilvl w:val="1"/>
        <w:numId w:val="1"/>
      </w:numPr>
      <w:spacing w:lineRule="auto" w:line="276" w:before="360" w:after="120"/>
      <w:jc w:val="center"/>
      <w:outlineLvl w:val="1"/>
    </w:pPr>
    <w:rPr>
      <w:b/>
      <w:bCs/>
      <w:sz w:val="24"/>
      <w:szCs w:val="24"/>
    </w:rPr>
  </w:style>
  <w:style w:type="character" w:styleId="Symbolyproslovn">
    <w:name w:val="Symboly pro číslování"/>
    <w:qFormat/>
    <w:rPr/>
  </w:style>
  <w:style w:type="character" w:styleId="Znakypropoznmkupodarou">
    <w:name w:val="Znaky pro poznámku pod čarou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Arial" w:hAnsi="Arial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>
      <w:rFonts w:ascii="Arial" w:hAnsi="Arial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 Unicode MS"/>
      <w:lang w:val="cs-CZ" w:eastAsia="zxx" w:bidi="zxx"/>
    </w:rPr>
  </w:style>
  <w:style w:type="paragraph" w:styleId="Title">
    <w:name w:val="Title"/>
    <w:basedOn w:val="Nadpis"/>
    <w:next w:val="BodyText"/>
    <w:qFormat/>
    <w:pPr>
      <w:jc w:val="center"/>
    </w:pPr>
    <w:rPr>
      <w:b/>
      <w:bCs/>
      <w:sz w:val="24"/>
      <w:szCs w:val="24"/>
    </w:rPr>
  </w:style>
  <w:style w:type="paragraph" w:styleId="UvodniVeta">
    <w:name w:val="UvodniVeta"/>
    <w:basedOn w:val="BodyText"/>
    <w:qFormat/>
    <w:pPr>
      <w:spacing w:before="62" w:after="120"/>
      <w:jc w:val="both"/>
    </w:pPr>
    <w:rPr>
      <w:sz w:val="22"/>
      <w:szCs w:val="22"/>
    </w:rPr>
  </w:style>
  <w:style w:type="paragraph" w:styleId="Odstavec">
    <w:name w:val="Odstavec"/>
    <w:basedOn w:val="BodyText"/>
    <w:qFormat/>
    <w:pPr>
      <w:tabs>
        <w:tab w:val="clear" w:pos="709"/>
        <w:tab w:val="left" w:pos="567" w:leader="none"/>
      </w:tabs>
      <w:spacing w:lineRule="auto" w:line="276" w:before="0" w:after="120"/>
      <w:ind w:start="0"/>
      <w:jc w:val="both"/>
    </w:pPr>
    <w:rPr>
      <w:sz w:val="22"/>
      <w:szCs w:val="22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FootnoteText">
    <w:name w:val="footnote text"/>
    <w:basedOn w:val="Normal"/>
    <w:pPr>
      <w:suppressLineNumbers/>
      <w:ind w:hanging="170" w:start="170" w:end="0"/>
    </w:pPr>
    <w:rPr>
      <w:rFonts w:ascii="Arial" w:hAnsi="Arial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2</Pages>
  <Words>341</Words>
  <Characters>1794</Characters>
  <CharactersWithSpaces>2103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2026-09-11T12:57:47Z</dcterms:modified>
  <cp:revision>0</cp:revision>
  <dc:subject/>
  <dc:title/>
</cp:coreProperties>
</file>