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2"/>
        <w:spacing w:lineRule="atLeast" w:line="280"/>
        <w:jc w:val="center"/>
        <w:rPr/>
      </w:pPr>
      <w:r>
        <w:rPr>
          <w:rFonts w:cs="Calibri" w:ascii="Calibri" w:hAnsi="Calibri"/>
          <w:b/>
          <w:bCs/>
          <w:spacing w:val="40"/>
          <w:sz w:val="40"/>
          <w:szCs w:val="40"/>
          <w:u w:val="none"/>
        </w:rPr>
        <w:t>OBEC LOCHOVICE</w:t>
      </w:r>
    </w:p>
    <w:p>
      <w:pPr>
        <w:pStyle w:val="Normal"/>
        <w:jc w:val="center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Zastupitelstvo obce Lochovice</w:t>
      </w:r>
    </w:p>
    <w:p>
      <w:pPr>
        <w:pStyle w:val="Normal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276"/>
        <w:jc w:val="center"/>
        <w:rPr/>
      </w:pPr>
      <w:r>
        <w:rPr>
          <w:rFonts w:cs="Calibri" w:ascii="Calibri" w:hAnsi="Calibri"/>
          <w:b/>
        </w:rPr>
        <w:t>Obecně závazná vyhláška obce Lochovice č. 2/2022,</w:t>
      </w:r>
    </w:p>
    <w:p>
      <w:pPr>
        <w:pStyle w:val="Normal"/>
        <w:spacing w:lineRule="auto" w:line="312" w:before="0" w:after="36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o místním poplatku za užívání veřejného prostranství</w:t>
      </w:r>
    </w:p>
    <w:p>
      <w:pPr>
        <w:pStyle w:val="Normal"/>
        <w:spacing w:before="120" w:after="0"/>
        <w:jc w:val="both"/>
        <w:rPr/>
      </w:pPr>
      <w:r>
        <w:rPr>
          <w:rFonts w:cs="Calibri" w:ascii="Calibri" w:hAnsi="Calibri"/>
          <w:sz w:val="22"/>
          <w:szCs w:val="22"/>
        </w:rPr>
        <w:t xml:space="preserve">Zastupitelstvo obce Lochovice se na svém zasedání dne 24.11.2022 usnesením </w:t>
        <w:br/>
        <w:t xml:space="preserve">č. 13/Z2/22 usneslo vydat na základě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1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Úvodní ustanovení</w:t>
      </w:r>
    </w:p>
    <w:p>
      <w:pPr>
        <w:pStyle w:val="Normal"/>
        <w:numPr>
          <w:ilvl w:val="3"/>
          <w:numId w:val="7"/>
        </w:numPr>
        <w:tabs>
          <w:tab w:val="clear" w:pos="708"/>
        </w:tabs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Obec Lochovice touto vyhláškou zavádí místní poplatek za užívání veřejného</w:t>
      </w:r>
    </w:p>
    <w:p>
      <w:pPr>
        <w:pStyle w:val="Normal"/>
        <w:ind w:left="43" w:hanging="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          </w:t>
      </w:r>
      <w:r>
        <w:rPr>
          <w:rFonts w:cs="Calibri" w:ascii="Calibri" w:hAnsi="Calibri"/>
          <w:sz w:val="22"/>
          <w:szCs w:val="22"/>
        </w:rPr>
        <w:t>prostranství (dále jen „poplatek“).</w:t>
      </w:r>
    </w:p>
    <w:p>
      <w:pPr>
        <w:pStyle w:val="Normal"/>
        <w:numPr>
          <w:ilvl w:val="3"/>
          <w:numId w:val="7"/>
        </w:numPr>
        <w:tabs>
          <w:tab w:val="clear" w:pos="708"/>
        </w:tabs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Správcem poplatku je obecní úřad Lochovice.</w:t>
      </w:r>
      <w:r>
        <w:rPr>
          <w:rStyle w:val="Ukotvenpoznmkypodarou"/>
          <w:rFonts w:cs="Calibri" w:ascii="Calibri" w:hAnsi="Calibri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2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Předmět poplatku a poplatník</w:t>
      </w:r>
    </w:p>
    <w:p>
      <w:pPr>
        <w:pStyle w:val="Normal"/>
        <w:numPr>
          <w:ilvl w:val="3"/>
          <w:numId w:val="8"/>
        </w:numPr>
        <w:tabs>
          <w:tab w:val="clear" w:pos="708"/>
        </w:tabs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Poplatek za užívání veřejného prostranství se vybírá za zvláštní užívání veřejného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prostranství, kterým se rozumí provádění výkopových prací, umístění dočasných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staveb a zařízení sloužících pro poskytování prodeje a služeb, pro umístění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stavebních nebo reklamních zařízení, zařízení cirkusů, lunaparků a jiných obdobných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atrakcí, umístění skládek, vyhrazení trvalého parkovacího místa a užívání tohoto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prostranství pro kulturní, sportovní a reklamní akce nebo potřeby tvorby filmových a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televizních děl.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3"/>
      </w:r>
    </w:p>
    <w:p>
      <w:pPr>
        <w:pStyle w:val="Normal"/>
        <w:numPr>
          <w:ilvl w:val="3"/>
          <w:numId w:val="8"/>
        </w:numPr>
        <w:tabs>
          <w:tab w:val="clear" w:pos="708"/>
        </w:tabs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Poplatek za užívání veřejného prostranství platí fyzické i právnické osoby, které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užívají veřejné prostranství způsobem uvedeným v odstavci 1 (dále jen „poplatník“).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4"/>
      </w:r>
    </w:p>
    <w:p>
      <w:pPr>
        <w:pStyle w:val="Slalnk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Čl. 3  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Veřejná prostranství </w:t>
      </w:r>
    </w:p>
    <w:p>
      <w:pPr>
        <w:pStyle w:val="Normal"/>
        <w:numPr>
          <w:ilvl w:val="3"/>
          <w:numId w:val="3"/>
        </w:numPr>
        <w:tabs>
          <w:tab w:val="clear" w:pos="708"/>
        </w:tabs>
        <w:ind w:left="0" w:firstLine="4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Poplatek se platí za užívání veřejných prostranství, kterými jsou pro účely této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vyhlášky náměstí, ulice, místní komunikace, chodníky, veřejná zeleň a další prostory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přístupné každému bez omezení, tedy sloužící k obecnému užívání, a to bez ohledu</w:t>
      </w:r>
    </w:p>
    <w:p>
      <w:pPr>
        <w:pStyle w:val="Normal"/>
        <w:ind w:left="567" w:right="708" w:hanging="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na vlastnictví k tomuto prostoru, která jsou uvedena jmenovitě v příloze č. 1. Tato příloha tvoří nedílnou součást této vyhlášky.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4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Ohlašovací povinnost</w:t>
      </w:r>
    </w:p>
    <w:p>
      <w:pPr>
        <w:pStyle w:val="Normal"/>
        <w:numPr>
          <w:ilvl w:val="3"/>
          <w:numId w:val="5"/>
        </w:numPr>
        <w:tabs>
          <w:tab w:val="clear" w:pos="708"/>
        </w:tabs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Poplatník je povinen ohlásit zvláštní užívání veřejného prostranství správci poplatku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nejpozději 3 dní před zahájením užívání veřejného prostranství. V případě užívání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veřejného prostranství po dobu kratší než 2 dní, je povinen splnit ohlašovací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povinnost nejpozději v den zahájení užívání veřejného prostranství. Pokud tento den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připadne na sobotu, neděli nebo státem uznaný svátek, je poplatník povinen splnit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</w:t>
      </w:r>
      <w:r>
        <w:rPr>
          <w:rFonts w:cs="Calibri" w:ascii="Calibri" w:hAnsi="Calibri"/>
          <w:sz w:val="22"/>
          <w:szCs w:val="22"/>
        </w:rPr>
        <w:t>ohlašovací povinnost nejblíže následující pracovní den.</w:t>
      </w:r>
    </w:p>
    <w:p>
      <w:pPr>
        <w:pStyle w:val="Normal"/>
        <w:numPr>
          <w:ilvl w:val="3"/>
          <w:numId w:val="5"/>
        </w:numPr>
        <w:tabs>
          <w:tab w:val="clear" w:pos="708"/>
        </w:tabs>
        <w:spacing w:before="60" w:after="0"/>
        <w:ind w:lef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 ohlášení poplatník uvede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5"/>
      </w:r>
    </w:p>
    <w:p>
      <w:pPr>
        <w:pStyle w:val="Normal"/>
        <w:numPr>
          <w:ilvl w:val="0"/>
          <w:numId w:val="4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0"/>
          <w:numId w:val="4"/>
        </w:numPr>
        <w:spacing w:before="6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0"/>
          <w:numId w:val="4"/>
        </w:numPr>
        <w:spacing w:before="6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>
      <w:pPr>
        <w:pStyle w:val="Normal"/>
        <w:numPr>
          <w:ilvl w:val="0"/>
          <w:numId w:val="3"/>
        </w:numPr>
        <w:spacing w:before="6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6"/>
      </w:r>
    </w:p>
    <w:p>
      <w:pPr>
        <w:pStyle w:val="Normal"/>
        <w:numPr>
          <w:ilvl w:val="0"/>
          <w:numId w:val="3"/>
        </w:numPr>
        <w:spacing w:before="6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7"/>
      </w:r>
    </w:p>
    <w:p>
      <w:pPr>
        <w:pStyle w:val="Normal"/>
        <w:numPr>
          <w:ilvl w:val="0"/>
          <w:numId w:val="3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8"/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Calibri" w:hAnsi="Calibri" w:cs="Calibri"/>
          <w:i/>
          <w:i/>
          <w:color w:val="0070C0"/>
          <w:sz w:val="20"/>
          <w:szCs w:val="20"/>
          <w:u w:val="single"/>
        </w:rPr>
      </w:pPr>
      <w:r>
        <w:rPr>
          <w:rFonts w:cs="Calibri" w:ascii="Calibri" w:hAnsi="Calibri"/>
          <w:i/>
          <w:color w:val="0070C0"/>
          <w:sz w:val="20"/>
          <w:szCs w:val="20"/>
          <w:u w:val="single"/>
        </w:rPr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5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Sazba poplatku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0" w:leader="none"/>
        </w:tabs>
        <w:rPr/>
      </w:pPr>
      <w:r>
        <w:rPr>
          <w:rFonts w:cs="Calibri" w:ascii="Calibri" w:hAnsi="Calibri"/>
          <w:sz w:val="22"/>
          <w:szCs w:val="22"/>
        </w:rPr>
        <w:t>Sazba poplatku činí za každý i započatý m</w:t>
      </w:r>
      <w:r>
        <w:rPr>
          <w:rFonts w:cs="Calibri" w:ascii="Calibri" w:hAnsi="Calibri"/>
          <w:sz w:val="22"/>
          <w:szCs w:val="22"/>
          <w:vertAlign w:val="superscript"/>
        </w:rPr>
        <w:t>2</w:t>
      </w:r>
      <w:r>
        <w:rPr>
          <w:rFonts w:cs="Calibri" w:ascii="Calibri" w:hAnsi="Calibri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dočasných staveb a zařízení (např. předzahrádky) sloužících pro poskytování služeb………………………………………………………………………………………………………..  5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dočasných staveb</w:t>
      </w:r>
      <w:r>
        <w:rPr>
          <w:rFonts w:cs="Calibri" w:ascii="Calibri" w:hAnsi="Calibri"/>
          <w:i/>
          <w:iCs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sloužících pro poskytování prodeje…….......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zařízení sloužících pro poskytování prodeje..........................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provádění výkopových prací ..............................................................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stavebních zařízení ..............................................................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reklamních zařízení</w:t>
      </w:r>
      <w:r>
        <w:rPr>
          <w:rFonts w:cs="Calibri" w:ascii="Calibri" w:hAnsi="Calibri"/>
          <w:i/>
          <w:iCs/>
          <w:sz w:val="22"/>
          <w:szCs w:val="22"/>
        </w:rPr>
        <w:t xml:space="preserve"> ..............................................................   </w:t>
      </w:r>
      <w:r>
        <w:rPr>
          <w:rFonts w:cs="Calibri" w:ascii="Calibri" w:hAnsi="Calibri"/>
          <w:sz w:val="22"/>
          <w:szCs w:val="22"/>
        </w:rPr>
        <w:t>50 Kč,</w:t>
      </w:r>
      <w:r>
        <w:rPr>
          <w:rFonts w:cs="Calibri" w:ascii="Calibri" w:hAnsi="Calibri"/>
          <w:i/>
          <w:iCs/>
          <w:sz w:val="22"/>
          <w:szCs w:val="22"/>
        </w:rPr>
        <w:tab/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zařízení lunaparků a jiných obdobných atrakcí</w:t>
      </w:r>
      <w:r>
        <w:rPr>
          <w:rFonts w:cs="Calibri" w:ascii="Calibri" w:hAnsi="Calibri"/>
          <w:iCs/>
          <w:sz w:val="22"/>
          <w:szCs w:val="22"/>
        </w:rPr>
        <w:t xml:space="preserve"> ........................    10 Kč</w:t>
      </w:r>
      <w:r>
        <w:rPr>
          <w:rFonts w:cs="Calibri" w:ascii="Calibri" w:hAnsi="Calibri"/>
          <w:iCs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zařízení cirkusů .....................................................................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dočasných skládek...................................................................       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vyhrazení trvalého parkovacího místa ....................................................       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užívání veřejného prostranství pro kulturní akce ......................................    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užívání veřejného prostranství pro sportovní akce ...................................     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užívání veřejného prostranství pro reklamní akce .....................................       10 Kč</w:t>
      </w:r>
      <w:r>
        <w:rPr>
          <w:rFonts w:cs="Calibri" w:ascii="Calibri" w:hAnsi="Calibri"/>
          <w:color w:val="000000"/>
          <w:sz w:val="22"/>
          <w:szCs w:val="22"/>
        </w:rPr>
        <w:t>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8640" w:leader="none"/>
        </w:tabs>
        <w:spacing w:before="0" w:after="60"/>
        <w:ind w:left="1021" w:hanging="595"/>
        <w:jc w:val="both"/>
        <w:rPr/>
      </w:pPr>
      <w:r>
        <w:rPr>
          <w:rFonts w:cs="Calibri" w:ascii="Calibri" w:hAnsi="Calibri"/>
          <w:sz w:val="22"/>
          <w:szCs w:val="22"/>
        </w:rPr>
        <w:t>za užívání veřejného prostranství pro potřeby tvorby filmových a televizních děl 10 Kč.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Calibri" w:hAnsi="Calibri" w:cs="Calibri"/>
          <w:i/>
          <w:i/>
          <w:color w:val="0070C0"/>
          <w:sz w:val="20"/>
          <w:szCs w:val="20"/>
          <w:u w:val="single"/>
        </w:rPr>
      </w:pPr>
      <w:r>
        <w:rPr>
          <w:rFonts w:cs="Calibri" w:ascii="Calibri" w:hAnsi="Calibri"/>
          <w:i/>
          <w:color w:val="0070C0"/>
          <w:sz w:val="20"/>
          <w:szCs w:val="20"/>
          <w:u w:val="single"/>
        </w:rPr>
      </w:r>
    </w:p>
    <w:p>
      <w:pPr>
        <w:pStyle w:val="Normal"/>
        <w:ind w:left="426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Obec stanovuje poplatek paušální částkou takto: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7740" w:leader="none"/>
        </w:tabs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reklamního zařízení do 1 m2 (včetně)                                    1.500 Kč/týden,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7740" w:leader="none"/>
        </w:tabs>
        <w:ind w:left="1021" w:hanging="595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umístění dočasných staveb a zařízení sloužící pro poskytování služeb</w:t>
      </w:r>
    </w:p>
    <w:p>
      <w:pPr>
        <w:pStyle w:val="Normal"/>
        <w:tabs>
          <w:tab w:val="clear" w:pos="708"/>
          <w:tab w:val="left" w:pos="7740" w:leader="none"/>
        </w:tabs>
        <w:ind w:left="708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300 Kč/týden, 1.500 Kč/měsíc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7740" w:leader="none"/>
        </w:tabs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Za vyhrazení trvalého místa pro pojízdná zařízení sloužících pro poskytování prodeje </w:t>
      </w:r>
    </w:p>
    <w:p>
      <w:pPr>
        <w:pStyle w:val="Normal"/>
        <w:tabs>
          <w:tab w:val="clear" w:pos="708"/>
          <w:tab w:val="left" w:pos="7740" w:leader="none"/>
        </w:tabs>
        <w:ind w:left="1021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>4.000 Kč/rok,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7740" w:leader="none"/>
        </w:tabs>
        <w:ind w:left="1021" w:hanging="595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vyhrazení trvalého parkovacího místa - osobní vozidlo do 3.500 kg</w:t>
      </w:r>
    </w:p>
    <w:p>
      <w:pPr>
        <w:pStyle w:val="Normal"/>
        <w:tabs>
          <w:tab w:val="clear" w:pos="708"/>
          <w:tab w:val="left" w:pos="7740" w:leader="none"/>
        </w:tabs>
        <w:ind w:left="1021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rFonts w:cs="Calibri" w:ascii="Calibri" w:hAnsi="Calibri"/>
          <w:sz w:val="22"/>
          <w:szCs w:val="22"/>
        </w:rPr>
        <w:tab/>
        <w:t>3.000 Kč/rok,</w:t>
      </w:r>
    </w:p>
    <w:p>
      <w:pPr>
        <w:pStyle w:val="Normal"/>
        <w:tabs>
          <w:tab w:val="clear" w:pos="708"/>
          <w:tab w:val="left" w:pos="7740" w:leader="none"/>
        </w:tabs>
        <w:ind w:left="1021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</w:t>
      </w:r>
      <w:r>
        <w:rPr>
          <w:rFonts w:cs="Calibri" w:ascii="Calibri" w:hAnsi="Calibri"/>
          <w:sz w:val="22"/>
          <w:szCs w:val="22"/>
        </w:rPr>
        <w:t>-osobní vozidlo/mikrobus/minibus od 3.500 kg do 5.000 kg</w:t>
      </w:r>
    </w:p>
    <w:p>
      <w:pPr>
        <w:pStyle w:val="Normal"/>
        <w:tabs>
          <w:tab w:val="clear" w:pos="708"/>
          <w:tab w:val="left" w:pos="7740" w:leader="none"/>
        </w:tabs>
        <w:ind w:left="1021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cs="Calibri" w:ascii="Calibri" w:hAnsi="Calibri"/>
          <w:sz w:val="22"/>
          <w:szCs w:val="22"/>
        </w:rPr>
        <w:tab/>
        <w:t>6.000 Kč/rok,</w:t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6</w:t>
      </w:r>
    </w:p>
    <w:p>
      <w:pPr>
        <w:pStyle w:val="Nzvylnk"/>
        <w:spacing w:before="120" w:after="0"/>
        <w:ind w:left="142" w:hanging="0"/>
        <w:jc w:val="both"/>
        <w:rPr>
          <w:rFonts w:ascii="Calibri" w:hAnsi="Calibri" w:cs="Calibr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sz w:val="22"/>
          <w:szCs w:val="22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</w:tabs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Poplatek ve stanovené výši je splatný:</w:t>
      </w:r>
    </w:p>
    <w:p>
      <w:pPr>
        <w:pStyle w:val="Normal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při užívání veřejného prostranství po dobu kratší 3 dnů nejpozději v den zahájení užívání veřejného prostranství,</w:t>
      </w:r>
    </w:p>
    <w:p>
      <w:pPr>
        <w:pStyle w:val="Normal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při užívání veřejného prostranství po dobu 3 dnů nebo delší nejpozději do 5 dnů od zahájení užívání veřejného prostranství.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</w:tabs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Poplatek stanovený paušální částkou je splatný do 15 dnů od jeho vzniku.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</w:t>
      </w:r>
    </w:p>
    <w:p>
      <w:pPr>
        <w:pStyle w:val="Normal"/>
        <w:spacing w:before="360" w:after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7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Osvobození a úlevy</w:t>
      </w:r>
    </w:p>
    <w:p>
      <w:pPr>
        <w:pStyle w:val="Normal"/>
        <w:numPr>
          <w:ilvl w:val="3"/>
          <w:numId w:val="2"/>
        </w:numPr>
        <w:tabs>
          <w:tab w:val="clear" w:pos="708"/>
          <w:tab w:val="left" w:pos="0" w:leader="none"/>
        </w:tabs>
        <w:spacing w:before="280" w:after="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Poplatek se neplatí:</w:t>
      </w:r>
    </w:p>
    <w:p>
      <w:pPr>
        <w:pStyle w:val="Normal"/>
        <w:numPr>
          <w:ilvl w:val="0"/>
          <w:numId w:val="6"/>
        </w:numPr>
        <w:ind w:left="426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 vyhrazení trvalého parkovacího místa pro osobu, která je držitelem průkazu ZTP nebo</w:t>
      </w:r>
    </w:p>
    <w:p>
      <w:pPr>
        <w:pStyle w:val="Normal"/>
        <w:ind w:left="1021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ZTP/P,</w:t>
      </w:r>
    </w:p>
    <w:p>
      <w:pPr>
        <w:pStyle w:val="Normal"/>
        <w:numPr>
          <w:ilvl w:val="0"/>
          <w:numId w:val="6"/>
        </w:numPr>
        <w:ind w:left="426" w:firstLine="3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 akcí pořádaných na veřejném prostranství, jejichž celý výtěžek je odveden na charitativní</w:t>
      </w:r>
    </w:p>
    <w:p>
      <w:pPr>
        <w:pStyle w:val="Normal"/>
        <w:ind w:left="426" w:hanging="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      </w:t>
      </w:r>
      <w:r>
        <w:rPr>
          <w:rFonts w:cs="Calibri" w:ascii="Calibri" w:hAnsi="Calibri"/>
          <w:sz w:val="22"/>
          <w:szCs w:val="22"/>
        </w:rPr>
        <w:t>a veřejně prospěšné účely</w:t>
      </w:r>
      <w:r>
        <w:rPr>
          <w:rStyle w:val="Znakypropoznmkupodarou"/>
          <w:rStyle w:val="Ukotvenpoznmkypodarou"/>
          <w:rFonts w:cs="Calibri" w:ascii="Calibri" w:hAnsi="Calibri"/>
          <w:sz w:val="22"/>
          <w:szCs w:val="22"/>
        </w:rPr>
        <w:footnoteReference w:id="9"/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numPr>
          <w:ilvl w:val="0"/>
          <w:numId w:val="6"/>
        </w:numPr>
        <w:ind w:left="426" w:firstLine="3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od poplatku se osvobozuje obec Lochovice, Základní škola a Mateřská škola Lochovice a Klub</w:t>
      </w:r>
    </w:p>
    <w:p>
      <w:pPr>
        <w:pStyle w:val="Normal"/>
        <w:ind w:left="463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</w:t>
      </w:r>
      <w:r>
        <w:rPr>
          <w:rFonts w:cs="Calibri" w:ascii="Calibri" w:hAnsi="Calibri"/>
          <w:sz w:val="22"/>
          <w:szCs w:val="22"/>
        </w:rPr>
        <w:t xml:space="preserve">seniorů Lochovice </w:t>
      </w:r>
    </w:p>
    <w:p>
      <w:pPr>
        <w:pStyle w:val="Slalnk"/>
        <w:spacing w:before="280" w:after="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8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Navýšení poplatku </w:t>
      </w:r>
    </w:p>
    <w:p>
      <w:pPr>
        <w:pStyle w:val="Normal"/>
        <w:numPr>
          <w:ilvl w:val="3"/>
          <w:numId w:val="6"/>
        </w:numPr>
        <w:spacing w:before="60" w:after="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Nebudou-li poplatky zaplaceny poplatníkem včas nebo ve správné výši, vyměří mu</w:t>
      </w:r>
    </w:p>
    <w:p>
      <w:pPr>
        <w:pStyle w:val="Normal"/>
        <w:spacing w:before="60" w:after="0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</w:t>
      </w:r>
      <w:r>
        <w:rPr>
          <w:rFonts w:cs="Calibri" w:ascii="Calibri" w:hAnsi="Calibri"/>
          <w:sz w:val="22"/>
          <w:szCs w:val="22"/>
        </w:rPr>
        <w:t>správce poplatku poplatek platebním výměrem nebo hromadným předpisným</w:t>
      </w:r>
    </w:p>
    <w:p>
      <w:pPr>
        <w:pStyle w:val="Normal"/>
        <w:spacing w:before="60" w:after="0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</w:t>
      </w:r>
      <w:r>
        <w:rPr>
          <w:rFonts w:cs="Calibri" w:ascii="Calibri" w:hAnsi="Calibri"/>
          <w:sz w:val="22"/>
          <w:szCs w:val="22"/>
        </w:rPr>
        <w:t>seznamem.</w:t>
      </w:r>
      <w:r>
        <w:rPr>
          <w:rStyle w:val="Ukotvenpoznmkypodarou"/>
          <w:rFonts w:cs="Calibri" w:ascii="Calibri" w:hAnsi="Calibri"/>
          <w:sz w:val="22"/>
          <w:szCs w:val="22"/>
          <w:vertAlign w:val="superscript"/>
        </w:rPr>
        <w:footnoteReference w:id="10"/>
      </w:r>
    </w:p>
    <w:p>
      <w:pPr>
        <w:pStyle w:val="Normal"/>
        <w:numPr>
          <w:ilvl w:val="3"/>
          <w:numId w:val="6"/>
        </w:numPr>
        <w:spacing w:before="60" w:after="0"/>
        <w:ind w:left="0" w:hanging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Včas nezaplacené poplatky nebo část těchto poplatků může správce poplatku zvýšit až na</w:t>
      </w:r>
    </w:p>
    <w:p>
      <w:pPr>
        <w:pStyle w:val="Normal"/>
        <w:spacing w:before="60" w:after="0"/>
        <w:rPr>
          <w:rFonts w:ascii="Calibri" w:hAnsi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</w:t>
      </w:r>
      <w:r>
        <w:rPr>
          <w:rFonts w:cs="Calibri" w:ascii="Calibri" w:hAnsi="Calibri"/>
          <w:sz w:val="22"/>
          <w:szCs w:val="22"/>
        </w:rPr>
        <w:t>trojnásobek; toto zvýšení je příslušenstvím poplatku sledujícím jeho osud.</w:t>
      </w:r>
      <w:r>
        <w:rPr>
          <w:rStyle w:val="Ukotvenpoznmkypodarou"/>
          <w:rFonts w:cs="Calibri" w:ascii="Calibri" w:hAnsi="Calibri"/>
          <w:sz w:val="22"/>
          <w:szCs w:val="22"/>
          <w:vertAlign w:val="superscript"/>
        </w:rPr>
        <w:footnoteReference w:id="11"/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9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Zrušovací ustanovení</w:t>
      </w:r>
    </w:p>
    <w:p>
      <w:pPr>
        <w:pStyle w:val="Normal"/>
        <w:spacing w:before="120" w:after="0"/>
        <w:ind w:left="567" w:hanging="0"/>
        <w:jc w:val="both"/>
        <w:rPr/>
      </w:pPr>
      <w:r>
        <w:rPr>
          <w:rFonts w:cs="Calibri" w:ascii="Calibri" w:hAnsi="Calibri"/>
          <w:sz w:val="22"/>
          <w:szCs w:val="22"/>
        </w:rPr>
        <w:t>Zrušuje se obecně závazná vyhláška č.  4</w:t>
      </w:r>
      <w:r>
        <w:rPr>
          <w:rFonts w:cs="Calibri" w:ascii="Calibri" w:hAnsi="Calibri"/>
          <w:i/>
          <w:sz w:val="22"/>
          <w:szCs w:val="22"/>
        </w:rPr>
        <w:t xml:space="preserve">/2021, </w:t>
      </w:r>
      <w:r>
        <w:rPr>
          <w:rFonts w:cs="Calibri" w:ascii="Calibri" w:hAnsi="Calibri"/>
          <w:sz w:val="22"/>
          <w:szCs w:val="22"/>
        </w:rPr>
        <w:t>ze dne</w:t>
      </w:r>
      <w:r>
        <w:rPr>
          <w:rFonts w:cs="Calibri" w:ascii="Calibri" w:hAnsi="Calibri"/>
          <w:i/>
          <w:sz w:val="22"/>
          <w:szCs w:val="22"/>
        </w:rPr>
        <w:t xml:space="preserve"> 16. 12. 2021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Sla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Čl. 10</w:t>
      </w:r>
    </w:p>
    <w:p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Účinnost</w:t>
      </w:r>
    </w:p>
    <w:p>
      <w:pPr>
        <w:pStyle w:val="Normal"/>
        <w:spacing w:before="120" w:after="0"/>
        <w:ind w:firstLine="708"/>
        <w:jc w:val="both"/>
        <w:rPr/>
      </w:pPr>
      <w:r>
        <w:rPr>
          <w:rFonts w:cs="Calibri" w:ascii="Calibri" w:hAnsi="Calibri"/>
          <w:sz w:val="22"/>
          <w:szCs w:val="22"/>
        </w:rPr>
        <w:t xml:space="preserve">Tato vyhláška nabývá účinnosti dnem 01. ledna 2023.  </w:t>
      </w:r>
    </w:p>
    <w:p>
      <w:pPr>
        <w:pStyle w:val="Nzvylnk"/>
        <w:jc w:val="left"/>
        <w:rPr>
          <w:rFonts w:ascii="Calibri" w:hAnsi="Calibri" w:cs="Calibri"/>
          <w:b w:val="false"/>
          <w:b w:val="false"/>
          <w:bCs w:val="false"/>
          <w:i/>
          <w:i/>
          <w:color w:val="1A4BD6"/>
          <w:sz w:val="22"/>
          <w:szCs w:val="24"/>
        </w:rPr>
      </w:pPr>
      <w:r>
        <w:rPr>
          <w:rFonts w:cs="Calibri" w:ascii="Calibri" w:hAnsi="Calibri"/>
          <w:b w:val="false"/>
          <w:bCs w:val="false"/>
          <w:i/>
          <w:color w:val="1A4BD6"/>
          <w:sz w:val="22"/>
          <w:szCs w:val="24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before="0" w:after="0"/>
        <w:rPr>
          <w:rFonts w:ascii="Calibri" w:hAnsi="Calibri" w:cs="Calibri"/>
          <w:b/>
          <w:b/>
          <w:bCs/>
          <w:i/>
          <w:i/>
          <w:color w:val="1A4BD6"/>
          <w:sz w:val="22"/>
          <w:szCs w:val="22"/>
        </w:rPr>
      </w:pPr>
      <w:r>
        <w:rPr>
          <w:rFonts w:cs="Calibri" w:ascii="Calibri" w:hAnsi="Calibri"/>
          <w:b/>
          <w:bCs/>
          <w:i/>
          <w:color w:val="1A4BD6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before="0" w:after="0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before="0" w:after="0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before="0" w:after="0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before="0" w:after="0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ab/>
        <w:t xml:space="preserve">Vladimír Chot </w:t>
        <w:tab/>
        <w:t>Ing. Tomáš Komínek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Vyvěšeno na úřední desce dne:   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Sejmuto z úřední desky dne:        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</w:rPr>
        <w:t>8</w:t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vertAlign w:val="superscript"/>
        </w:rPr>
        <w:t>10</w:t>
      </w:r>
      <w:r>
        <w:rPr>
          <w:rFonts w:cs="Arial" w:ascii="Arial" w:hAnsi="Arial"/>
        </w:rPr>
        <w:t xml:space="preserve"> § 11 odst. 1 zákona o místních poplatcích</w:t>
      </w:r>
    </w:p>
  </w:footnote>
  <w:footnote w:id="11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</w:rPr>
        <w:t>1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§ 11 odst. 3 zákona o místních poplatcích</w:t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oznmkapodarou"/>
        <w:rPr>
          <w:rFonts w:ascii="Arial" w:hAnsi="Arial" w:cs="Arial"/>
        </w:rPr>
      </w:pPr>
      <w:r>
        <w:rPr>
          <w:rFonts w:cs="Arial" w:ascii="Arial" w:hAnsi="Arial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hAnsi="Arial" w:eastAsia="Times New Roman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hanging="0"/>
      </w:pPr>
      <w:rPr>
        <w:rFonts w:ascii="Calibri" w:hAnsi="Calibri" w:eastAsia="Times New Roman" w:cs="Calibri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38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1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4"/>
        <w:i w:val="false"/>
        <w:shadow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character" w:styleId="WW8Num1z0">
    <w:name w:val="WW8Num1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1z1">
    <w:name w:val="WW8Num1z1"/>
    <w:qFormat/>
    <w:rPr>
      <w:rFonts w:ascii="Arial" w:hAnsi="Arial" w:eastAsia="Times New Roman" w:cs="Arial"/>
    </w:rPr>
  </w:style>
  <w:style w:type="character" w:styleId="WW8Num1z2">
    <w:name w:val="WW8Num1z2"/>
    <w:qFormat/>
    <w:rPr/>
  </w:style>
  <w:style w:type="character" w:styleId="WW8Num2z0">
    <w:name w:val="WW8Num2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2z1">
    <w:name w:val="WW8Num2z1"/>
    <w:qFormat/>
    <w:rPr>
      <w:rFonts w:ascii="Calibri" w:hAnsi="Calibri" w:eastAsia="Times New Roman" w:cs="Calibri"/>
    </w:rPr>
  </w:style>
  <w:style w:type="character" w:styleId="WW8Num2z2">
    <w:name w:val="WW8Num2z2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7z1">
    <w:name w:val="WW8Num7z1"/>
    <w:qFormat/>
    <w:rPr/>
  </w:style>
  <w:style w:type="character" w:styleId="WW8Num8z0">
    <w:name w:val="WW8Num8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8z1">
    <w:name w:val="WW8Num8z1"/>
    <w:qFormat/>
    <w:rPr/>
  </w:style>
  <w:style w:type="character" w:styleId="WW8Num9z0">
    <w:name w:val="WW8Num9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9z1">
    <w:name w:val="WW8Num9z1"/>
    <w:qFormat/>
    <w:rPr/>
  </w:style>
  <w:style w:type="character" w:styleId="WW8Num10z0">
    <w:name w:val="WW8Num10z0"/>
    <w:qFormat/>
    <w:rPr>
      <w:b w:val="false"/>
      <w:i w:val="false"/>
      <w:strike w:val="false"/>
      <w:dstrike w:val="false"/>
      <w:shadow w:val="false"/>
      <w:position w:val="0"/>
      <w:sz w:val="24"/>
      <w:vertAlign w:val="baseline"/>
    </w:rPr>
  </w:style>
  <w:style w:type="character" w:styleId="WW8Num10z1">
    <w:name w:val="WW8Num10z1"/>
    <w:qFormat/>
    <w:rPr/>
  </w:style>
  <w:style w:type="character" w:styleId="Standardnpsmoodstavce">
    <w:name w:val="Standardní písmo odstavce"/>
    <w:qFormat/>
    <w:rPr/>
  </w:style>
  <w:style w:type="character" w:styleId="CharChar3">
    <w:name w:val=" Char Char3"/>
    <w:qFormat/>
    <w:rPr>
      <w:sz w:val="24"/>
      <w:szCs w:val="24"/>
      <w:u w:val="single"/>
      <w:lang w:val="cs-CZ" w:bidi="ar-SA"/>
    </w:rPr>
  </w:style>
  <w:style w:type="character" w:styleId="CharChar2">
    <w:name w:val=" Char Char2"/>
    <w:qFormat/>
    <w:rPr>
      <w:sz w:val="24"/>
      <w:szCs w:val="24"/>
      <w:lang w:val="cs-CZ" w:bidi="ar-SA"/>
    </w:rPr>
  </w:style>
  <w:style w:type="character" w:styleId="CharChar1">
    <w:name w:val=" Char Char1"/>
    <w:qFormat/>
    <w:rPr>
      <w:sz w:val="24"/>
      <w:szCs w:val="24"/>
      <w:lang w:val="cs-CZ" w:bidi="ar-SA"/>
    </w:rPr>
  </w:style>
  <w:style w:type="character" w:styleId="CharChar">
    <w:name w:val=" Char Char"/>
    <w:qFormat/>
    <w:rPr>
      <w:lang w:val="cs-CZ" w:eastAsia="cs-CZ" w:bidi="ar-SA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LibreOffice/7.3.1.3$Windows_X86_64 LibreOffice_project/a69ca51ded25f3eefd52d7bf9a5fad8c90b87951</Application>
  <AppVersion>15.0000</AppVersion>
  <Pages>7</Pages>
  <Words>1069</Words>
  <Characters>6802</Characters>
  <CharactersWithSpaces>8352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2022-12-07T15:58:00Z</dcterms:created>
  <dc:creator>Lochovice</dc:creator>
  <dc:description/>
  <cp:keywords/>
  <dc:language>cs-CZ</dc:language>
  <cp:lastModifiedBy>Sekretariet</cp:lastModifiedBy>
  <cp:lastPrinted>2022-12-07T15:46:00Z</cp:lastPrinted>
  <dcterms:modified xsi:type="dcterms:W3CDTF">2022-12-07T15:58:00Z</dcterms:modified>
  <cp:revision>2</cp:revision>
  <dc:subject/>
  <dc:title>OBEC  LOCHOVICE</dc:title>
</cp:coreProperties>
</file>