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D O M O U Š I C E 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ZASTUPITELSTVO OBCE DOMOUŠICE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regulaci hlučné zábavní pyrotechniky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o stanovení výjimečných případů,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při nichž nemusí být dodržována doba nočního klidu </w:t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Zastupitelstvo obce Domoušice se na svém zasedání dne </w:t>
      </w:r>
      <w:r>
        <w:rPr>
          <w:i/>
        </w:rPr>
        <w:t>7. prosince 2023</w:t>
      </w:r>
      <w:r>
        <w:rPr>
          <w:i/>
        </w:rPr>
        <w:t xml:space="preserve"> usneslo vydat na základě § 10 písm. a) a d) a § 84 odst. 2 písm. h) zákona č. 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Úvodní ustanovení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Činností, která by mohla narušit veřejný pořádek a občanské soužití v obci Domoušice (dále jen „obec“), je používání hlučné zábavní pyrotechniky. 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Cílem této vyhlášky je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zlepšení pohody bydlení a pobytu v otevřených prostorech v zastavěném území</w:t>
      </w:r>
      <w:r>
        <w:rPr>
          <w:rStyle w:val="Ukotvenpoznmkypodarou"/>
        </w:rPr>
        <w:footnoteReference w:id="2"/>
      </w:r>
      <w:r>
        <w:rPr>
          <w:vertAlign w:val="superscript"/>
        </w:rPr>
        <w:t>)</w:t>
      </w:r>
      <w:r>
        <w:rPr/>
        <w:t xml:space="preserve"> obce, a to přiměřeným omezením činnosti uvedené v odst. 1,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udržení místních tradic a upevňování mezilidských vazeb skrze hlasité noční aktivity, které nelze, nebo není vždy vhodné, provozovat mimo dobu zákonem nastaveného nočního klidu, a to stanovením výjimečných případů, při nichž nemusí být dodržována doba nočního klidu.</w:t>
      </w:r>
      <w:r>
        <w:rPr>
          <w:rStyle w:val="Ukotvenpoznmkypodarou"/>
        </w:rPr>
        <w:footnoteReference w:id="3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Ochranu nočního klidu upravuje zvláštní zákon.</w:t>
      </w:r>
      <w:r>
        <w:rPr>
          <w:rStyle w:val="Ukotvenpoznmkypodarou"/>
        </w:rPr>
        <w:footnoteReference w:id="4"/>
      </w:r>
      <w:r>
        <w:rPr>
          <w:vertAlign w:val="superscript"/>
        </w:rPr>
        <w:t>)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2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Omezení používání hlučné zábavní pyrotechniky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>Používání hlučné zábavní pyrotechniky je zakázáno na všech veřejných prostranstvích v zastavěném území obce a dále na všech místech v obci, pokud hluk v intenzitě způsobilé narušit veřejný pořádek přesáhne na veřejné prostranství nebo nemovitost jiné osoby nacházející se v zastavěném území obce.</w:t>
      </w:r>
    </w:p>
    <w:p>
      <w:pPr>
        <w:pStyle w:val="Normal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3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Výjimky z omezení používání hlučné zábavní pyrotechniky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Zákaz dle čl. 2 této vyhlášky neplatí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na místě a v době konání tradiční kulturní akce „Rozsvícení vánočního stromečku“ (koná se vždy mimo dobu nočního klidu)</w:t>
      </w:r>
      <w:bookmarkStart w:id="0" w:name="_GoBack"/>
      <w:bookmarkEnd w:id="0"/>
      <w:r>
        <w:rPr/>
        <w:t>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od 12:00 hodin dne 31. prosince do 12:00 hodin dne 1. ledna následujícího roku.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4</w:t>
      </w:r>
    </w:p>
    <w:p>
      <w:pPr>
        <w:pStyle w:val="Normal"/>
        <w:jc w:val="center"/>
        <w:rPr>
          <w:b/>
        </w:rPr>
      </w:pPr>
      <w:r>
        <w:rPr>
          <w:b/>
          <w:bCs/>
        </w:rPr>
        <w:t xml:space="preserve">Výjimečné případy, </w:t>
      </w:r>
      <w:r>
        <w:rPr>
          <w:b/>
        </w:rPr>
        <w:t xml:space="preserve">při nichž nemusí být dodržována doba nočního klidu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Doba nočního klidu nemusí být dodržována v noci z 31. prosince na 1. ledna následujícího roku.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5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Účinnost</w:t>
      </w:r>
    </w:p>
    <w:p>
      <w:pPr>
        <w:pStyle w:val="Normal"/>
        <w:rPr/>
      </w:pPr>
      <w:r>
        <w:rPr/>
      </w:r>
    </w:p>
    <w:p>
      <w:pPr>
        <w:pStyle w:val="PlainText"/>
        <w:tabs>
          <w:tab w:val="clear" w:pos="708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  <w:t>Tato vyhláška nabývá účinnosti počátkem patnáctého dne následujícího po dni jejího vyhlášení.</w:t>
        <w:b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</w:r>
    </w:p>
    <w:tbl>
      <w:tblPr>
        <w:tblW w:w="9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534"/>
      </w:tblGrid>
      <w:tr>
        <w:trPr>
          <w:trHeight w:val="80" w:hRule="atLeast"/>
        </w:trPr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Josef Lusk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Zdeněk Kutner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left="170" w:hanging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územní plán obce je k nahlédnutí na Obecním úřadu Domoušice</w:t>
      </w:r>
    </w:p>
  </w:footnote>
  <w:footnote w:id="3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4">
    <w:p>
      <w:pPr>
        <w:pStyle w:val="Poznmkapodarou"/>
        <w:ind w:left="170" w:hanging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ustanovení § 5 odst. 1 písm. d) a odst. 2 zákona o některých přestupcích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rPr/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8f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c468f4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poznpodarouChar" w:customStyle="1">
    <w:name w:val="Text pozn. pod čarou Char"/>
    <w:basedOn w:val="DefaultParagraphFont"/>
    <w:qFormat/>
    <w:rsid w:val="00c468f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ypropoznmkupodarou">
    <w:name w:val="Znaky pro poznámku pod čarou"/>
    <w:qFormat/>
    <w:rsid w:val="00c468f4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ProsttextChar" w:customStyle="1">
    <w:name w:val="Prostý text Char"/>
    <w:basedOn w:val="DefaultParagraphFont"/>
    <w:link w:val="PlainText"/>
    <w:qFormat/>
    <w:rsid w:val="00c468f4"/>
    <w:rPr>
      <w:rFonts w:ascii="Courier New" w:hAnsi="Courier New" w:eastAsia="Times New Roman" w:cs="Times New Roman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qFormat/>
    <w:rsid w:val="00ff3da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311f98"/>
    <w:rPr>
      <w:rFonts w:ascii="Segoe UI" w:hAnsi="Segoe UI" w:eastAsia="Times New Roman" w:cs="Segoe UI"/>
      <w:sz w:val="18"/>
      <w:szCs w:val="18"/>
      <w:lang w:eastAsia="cs-CZ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ff3daa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c468f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rsid w:val="00c468f4"/>
    <w:pPr/>
    <w:rPr>
      <w:sz w:val="20"/>
      <w:szCs w:val="20"/>
    </w:rPr>
  </w:style>
  <w:style w:type="paragraph" w:styleId="PlainText">
    <w:name w:val="Plain Text"/>
    <w:basedOn w:val="Normal"/>
    <w:link w:val="ProsttextChar"/>
    <w:qFormat/>
    <w:rsid w:val="00c468f4"/>
    <w:pPr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468f4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11f9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LibreOffice/7.5.6.2$Windows_X86_64 LibreOffice_project/f654817fb68d6d4600d7d2f6b647e47729f55f15</Application>
  <AppVersion>15.0000</AppVersion>
  <Pages>2</Pages>
  <Words>477</Words>
  <Characters>2607</Characters>
  <CharactersWithSpaces>3052</CharactersWithSpaces>
  <Paragraphs>37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2023-11-29T09:31:00Z</dcterms:created>
  <dc:creator>PECH Martin, Mgr.</dc:creator>
  <dc:description/>
  <dc:language>cs-CZ</dc:language>
  <cp:lastModifiedBy/>
  <cp:lastPrinted>2023-12-07T10:34:36Z</cp:lastPrinted>
  <dcterms:modified xsi:type="dcterms:W3CDTF">2023-12-07T10:35:19Z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