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312" w:lineRule="auto"/>
        <w:ind/>
        <w:jc w:val="center"/>
        <w:rPr>
          <w:rFonts w:ascii="Times New Roman" w:hAnsi="Times New Roman" w:eastAsia="Times New Roman" w:cs="Times New Roman"/>
          <w:b/>
          <w:caps/>
          <w:sz w:val="48"/>
          <w:szCs w:val="48"/>
          <w:lang w:eastAsia="cs-CZ"/>
        </w:rPr>
      </w:pPr>
      <w:r>
        <w:rPr>
          <w:rFonts w:ascii="Arial" w:hAnsi="Arial" w:eastAsia="Times New Roman" w:cs="Arial"/>
          <w:b/>
          <w:caps/>
          <w:sz w:val="48"/>
          <w:szCs w:val="48"/>
          <w:lang w:eastAsia="cs-CZ"/>
        </w:rPr>
        <w:t xml:space="preserve">OBEC Důl</w:t>
      </w:r>
      <w:r>
        <w:rPr>
          <w:rFonts w:ascii="Times New Roman" w:hAnsi="Times New Roman" w:eastAsia="Times New Roman" w:cs="Times New Roman"/>
          <w:b/>
          <w:caps/>
          <w:sz w:val="48"/>
          <w:szCs w:val="48"/>
          <w:lang w:eastAsia="cs-CZ"/>
        </w:rPr>
      </w:r>
      <w:r>
        <w:rPr>
          <w:rFonts w:ascii="Times New Roman" w:hAnsi="Times New Roman" w:eastAsia="Times New Roman" w:cs="Times New Roman"/>
          <w:b/>
          <w:caps/>
          <w:sz w:val="48"/>
          <w:szCs w:val="48"/>
          <w:lang w:eastAsia="cs-CZ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r>
    </w:p>
    <w:p>
      <w:pPr>
        <w:pBdr/>
        <w:spacing w:after="0" w:line="312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Zastupitelstvo obce Důl 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0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  <w:t xml:space="preserve">Obecně závazná vyhláška obce Důl 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pPr>
      <w:r/>
      <w:bookmarkStart w:id="0" w:name="_Hlk192836167"/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  <w:t xml:space="preserve">o stanovení obecního systému odpadového hospodářství</w:t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bookmarkEnd w:id="0"/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color w:val="000000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bCs/>
          <w:sz w:val="24"/>
          <w:lang w:eastAsia="cs-CZ"/>
        </w:rPr>
      </w:pPr>
      <w:r>
        <w:rPr>
          <w:rFonts w:ascii="Arial" w:hAnsi="Arial" w:eastAsia="Times New Roman" w:cs="Arial"/>
          <w:bCs/>
          <w:sz w:val="24"/>
          <w:lang w:eastAsia="cs-CZ"/>
        </w:rPr>
        <w:t xml:space="preserve">Zastupitelstvo obce Důl se na svém zasedání dne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16.5.2025  usnesením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 </w:t>
      </w:r>
      <w:r>
        <w:rPr>
          <w:rFonts w:ascii="Arial" w:hAnsi="Arial" w:eastAsia="Times New Roman" w:cs="Arial"/>
          <w:bCs/>
          <w:sz w:val="24"/>
          <w:highlight w:val="none"/>
          <w:lang w:eastAsia="cs-CZ"/>
        </w:rPr>
        <w:t xml:space="preserve">č.</w:t>
      </w:r>
      <w:r>
        <w:rPr>
          <w:rFonts w:ascii="Arial" w:hAnsi="Arial" w:eastAsia="Times New Roman" w:cs="Arial"/>
          <w:bCs/>
          <w:sz w:val="22"/>
          <w:szCs w:val="20"/>
          <w:lang w:eastAsia="cs-CZ"/>
        </w:rPr>
        <w:t xml:space="preserve"> z 2/2025/u2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usneslo vydat na základě § 59 odst. 4 zákona č. </w:t>
      </w:r>
      <w:r>
        <w:rPr>
          <w:rFonts w:ascii="Arial" w:hAnsi="Arial" w:eastAsia="Times New Roman" w:cs="Arial"/>
          <w:bCs/>
          <w:sz w:val="24"/>
          <w:lang w:eastAsia="cs-CZ"/>
        </w:rPr>
        <w:t xml:space="preserve">541/2020 Sb., o odpadech (dále jen „zákon o odpadech“), a v souladu s § 10 písm. d) a § 84 odst. 2 písm. h) zákona č.128/2000 Sb., o obcích (obecní zřízení), ve znění pozdějších předpisů, tuto obecně závaznou vyhlášku (dále jen „vyhláška“):</w:t>
      </w:r>
      <w:r>
        <w:rPr>
          <w:rFonts w:ascii="Arial" w:hAnsi="Arial" w:eastAsia="Times New Roman" w:cs="Arial"/>
          <w:bCs/>
          <w:sz w:val="24"/>
          <w:lang w:eastAsia="cs-CZ"/>
        </w:rPr>
      </w:r>
      <w:r>
        <w:rPr>
          <w:rFonts w:ascii="Arial" w:hAnsi="Arial" w:eastAsia="Times New Roman" w:cs="Arial"/>
          <w:bCs/>
          <w:sz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sz w:val="24"/>
          <w:lang w:eastAsia="cs-CZ"/>
        </w:rPr>
      </w:pPr>
      <w:r>
        <w:rPr>
          <w:rFonts w:ascii="Arial" w:hAnsi="Arial" w:eastAsia="Times New Roman" w:cs="Arial"/>
          <w:b/>
          <w:sz w:val="24"/>
          <w:lang w:eastAsia="cs-CZ"/>
        </w:rPr>
      </w:r>
      <w:r>
        <w:rPr>
          <w:rFonts w:ascii="Arial" w:hAnsi="Arial" w:eastAsia="Times New Roman" w:cs="Arial"/>
          <w:b/>
          <w:sz w:val="24"/>
          <w:lang w:eastAsia="cs-CZ"/>
        </w:rPr>
      </w:r>
      <w:r>
        <w:rPr>
          <w:rFonts w:ascii="Arial" w:hAnsi="Arial" w:eastAsia="Times New Roman" w:cs="Arial"/>
          <w:b/>
          <w:sz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1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spacing w:after="120" w:line="240" w:lineRule="auto"/>
        <w:ind/>
        <w:jc w:val="center"/>
        <w:outlineLvl w:val="1"/>
        <w:rPr>
          <w:rFonts w:ascii="Arial" w:hAnsi="Arial" w:eastAsia="Times New Roman" w:cs="Arial"/>
          <w:b/>
          <w:bCs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Úvodní ustanovení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Tato obecně závazná vyhláška stanovuje obecní systém odpadového hospodářství na území obce Důl.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947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947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12"/>
        </w:numPr>
        <w:pBdr/>
        <w:tabs>
          <w:tab w:val="left" w:leader="none" w:pos="-142"/>
        </w:tabs>
        <w:spacing w:after="0" w:line="240" w:lineRule="auto"/>
        <w:ind w:hanging="426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2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Oddělené 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soustřeďování komunálního odpadu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numPr>
          <w:ilvl w:val="0"/>
          <w:numId w:val="13"/>
        </w:numPr>
        <w:pBdr/>
        <w:spacing w:after="12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Osoby předávající komunální odpad na místa určená obcí jsou povinny odděleně soustřeďovat následující složky: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Biologické odpady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papír,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plast (včetně PET lahví a nápojových kartonů),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sklo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kovy,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Style w:val="951"/>
        <w:numPr>
          <w:ilvl w:val="0"/>
          <w:numId w:val="6"/>
        </w:numPr>
        <w:pBdr/>
        <w:spacing w:after="0" w:line="259" w:lineRule="auto"/>
        <w:ind w:hanging="357" w:left="9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textil,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1"/>
        <w:numPr>
          <w:ilvl w:val="0"/>
          <w:numId w:val="6"/>
        </w:numPr>
        <w:pBdr/>
        <w:spacing w:after="0" w:line="259" w:lineRule="auto"/>
        <w:ind w:hanging="357" w:left="92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jedlé oleje a tuky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objemný odpad,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nebezpečné složky komunálního odpadu,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6"/>
        </w:numPr>
        <w:pBdr/>
        <w:spacing w:after="120" w:line="240" w:lineRule="auto"/>
        <w:ind w:hanging="426" w:left="993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směsný odpad.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Style w:val="951"/>
        <w:numPr>
          <w:ilvl w:val="0"/>
          <w:numId w:val="13"/>
        </w:numPr>
        <w:pBdr/>
        <w:spacing w:line="240" w:lineRule="auto"/>
        <w:ind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/>
      <w:bookmarkStart w:id="1" w:name="_Hlk184667068"/>
      <w:r>
        <w:rPr>
          <w:rFonts w:ascii="Arial" w:hAnsi="Arial" w:eastAsia="Times New Roman" w:cs="Arial"/>
          <w:sz w:val="24"/>
          <w:szCs w:val="24"/>
          <w:lang w:eastAsia="cs-CZ"/>
        </w:rPr>
        <w:t xml:space="preserve">Směsný odpad je zbylý komunální odpad po stanoveném vytřídění dle </w:t>
      </w:r>
      <w:r>
        <w:rPr>
          <w:rFonts w:ascii="Arial" w:hAnsi="Arial" w:eastAsia="Times New Roman" w:cs="Arial"/>
          <w:sz w:val="24"/>
          <w:szCs w:val="24"/>
          <w:lang w:eastAsia="cs-CZ"/>
        </w:rPr>
        <w:br/>
        <w:t xml:space="preserve">odst. 1 písm. </w:t>
      </w:r>
      <w:r>
        <w:rPr>
          <w:rFonts w:ascii="Arial" w:hAnsi="Arial" w:cs="Arial"/>
        </w:rPr>
        <w:t xml:space="preserve">a), b), c), d), e), f), g), h)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) .</w:t>
      </w:r>
      <w:bookmarkEnd w:id="1"/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Style w:val="956"/>
        <w:numPr>
          <w:ilvl w:val="0"/>
          <w:numId w:val="13"/>
        </w:numPr>
        <w:pBdr/>
        <w:spacing/>
        <w:ind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Objemný odpad je takový odpad, který vzhledem ke svým </w:t>
      </w:r>
      <w:r>
        <w:rPr>
          <w:rFonts w:ascii="Arial" w:hAnsi="Arial" w:cs="Arial"/>
          <w:szCs w:val="24"/>
        </w:rPr>
        <w:t xml:space="preserve">rozměrům nemůže být umístěn do sběrných nádob (</w:t>
      </w:r>
      <w:r>
        <w:rPr>
          <w:rFonts w:ascii="Arial" w:hAnsi="Arial" w:cs="Arial"/>
          <w:i/>
          <w:iCs/>
          <w:szCs w:val="24"/>
        </w:rPr>
        <w:t xml:space="preserve">např. koberce, matrace, </w:t>
      </w:r>
      <w:r>
        <w:rPr>
          <w:rFonts w:ascii="Arial" w:hAnsi="Arial" w:cs="Arial"/>
          <w:i/>
          <w:iCs/>
          <w:szCs w:val="24"/>
        </w:rPr>
        <w:t xml:space="preserve">nábytek,…</w:t>
      </w:r>
      <w:r>
        <w:rPr>
          <w:rFonts w:ascii="Arial" w:hAnsi="Arial" w:cs="Arial"/>
          <w:szCs w:val="24"/>
        </w:rPr>
        <w:t xml:space="preserve"> ).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951"/>
        <w:pBdr/>
        <w:spacing w:after="0" w:line="240" w:lineRule="auto"/>
        <w:ind w:left="36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szCs w:val="20"/>
          <w:lang w:eastAsia="cs-CZ"/>
        </w:rPr>
      </w:pPr>
      <w:r>
        <w:rPr>
          <w:rFonts w:ascii="Arial" w:hAnsi="Arial" w:eastAsia="Times New Roman" w:cs="Arial"/>
          <w:sz w:val="24"/>
          <w:szCs w:val="20"/>
          <w:lang w:eastAsia="cs-CZ"/>
        </w:rPr>
      </w:r>
      <w:r>
        <w:rPr>
          <w:rFonts w:ascii="Arial" w:hAnsi="Arial" w:eastAsia="Times New Roman" w:cs="Arial"/>
          <w:sz w:val="24"/>
          <w:szCs w:val="20"/>
          <w:lang w:eastAsia="cs-CZ"/>
        </w:rPr>
      </w:r>
      <w:r>
        <w:rPr>
          <w:rFonts w:ascii="Arial" w:hAnsi="Arial" w:eastAsia="Times New Roman" w:cs="Arial"/>
          <w:sz w:val="24"/>
          <w:szCs w:val="20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3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Určení míst pro oddělené soustřeďování určených složek komunálního odpadu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numPr>
          <w:ilvl w:val="0"/>
          <w:numId w:val="8"/>
        </w:numPr>
        <w:pBdr/>
        <w:spacing w:after="120" w:line="240" w:lineRule="auto"/>
        <w:ind w:hanging="425" w:left="425"/>
        <w:jc w:val="both"/>
        <w:rPr>
          <w:rFonts w:ascii="Arial" w:hAnsi="Arial" w:eastAsia="Calibri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Papír, plasty, sklo, kovy, biologické odpady, textil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jedlé oleje a tuky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 soustřeďují do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zvláštních sběrných nádob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kterými jsou sběrné nádoby o objemu 110 l, 120 l, 240 l, 600 l, 1100 l, velkoobjemové kontejnery.</w:t>
      </w:r>
      <w:r>
        <w:rPr>
          <w:rFonts w:ascii="Arial" w:hAnsi="Arial" w:eastAsia="Calibri" w:cs="Arial"/>
          <w:color w:val="000000" w:themeColor="text1"/>
          <w:sz w:val="24"/>
          <w:szCs w:val="24"/>
        </w:rPr>
      </w:r>
      <w:r>
        <w:rPr>
          <w:rFonts w:ascii="Arial" w:hAnsi="Arial" w:eastAsia="Calibri" w:cs="Arial"/>
          <w:color w:val="000000" w:themeColor="text1"/>
          <w:sz w:val="24"/>
          <w:szCs w:val="24"/>
        </w:rPr>
      </w:r>
    </w:p>
    <w:p>
      <w:pPr>
        <w:pStyle w:val="951"/>
        <w:numPr>
          <w:ilvl w:val="0"/>
          <w:numId w:val="8"/>
        </w:numPr>
        <w:pBdr/>
        <w:spacing w:after="60" w:line="240" w:lineRule="auto"/>
        <w:ind w:hanging="426" w:left="426"/>
        <w:jc w:val="both"/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 xml:space="preserve">Zvláštní sběrné nádoby jsou barevně odlišeny a označeny příslušnými nápisy:</w:t>
      </w:r>
      <w:r>
        <w:rPr>
          <w:rFonts w:ascii="Arial" w:hAnsi="Arial" w:eastAsia="Calibri" w:cs="Arial"/>
          <w:color w:val="000000"/>
          <w:sz w:val="24"/>
          <w:szCs w:val="24"/>
        </w:rPr>
      </w:r>
      <w:r>
        <w:rPr>
          <w:rFonts w:ascii="Arial" w:hAnsi="Arial" w:eastAsia="Calibri" w:cs="Arial"/>
          <w:color w:val="000000"/>
          <w:sz w:val="24"/>
          <w:szCs w:val="24"/>
        </w:rPr>
      </w:r>
    </w:p>
    <w:p>
      <w:pPr>
        <w:numPr>
          <w:ilvl w:val="0"/>
          <w:numId w:val="7"/>
        </w:numPr>
        <w:pBdr/>
        <w:spacing w:after="0" w:line="240" w:lineRule="auto"/>
        <w:ind w:hanging="284" w:left="993"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papír - kontejner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 modré barvy,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umístěný za obecním úřadem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</w:p>
    <w:p>
      <w:pPr>
        <w:numPr>
          <w:ilvl w:val="0"/>
          <w:numId w:val="7"/>
        </w:numPr>
        <w:pBdr/>
        <w:tabs>
          <w:tab w:val="left" w:leader="none" w:pos="540"/>
        </w:tabs>
        <w:spacing w:after="0" w:line="240" w:lineRule="auto"/>
        <w:ind w:hanging="284" w:left="993"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plasty a PET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lahve - kontejner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 žluté barvy,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umístěný za obecním úřadem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</w:p>
    <w:p>
      <w:pPr>
        <w:numPr>
          <w:ilvl w:val="0"/>
          <w:numId w:val="7"/>
        </w:numPr>
        <w:pBdr/>
        <w:tabs>
          <w:tab w:val="left" w:leader="none" w:pos="540"/>
        </w:tabs>
        <w:spacing w:after="0" w:line="240" w:lineRule="auto"/>
        <w:ind w:hanging="284" w:left="993"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 sklo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– kontejner zelené barvy-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umístěný za obecním úřadem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</w:p>
    <w:p>
      <w:pPr>
        <w:pStyle w:val="951"/>
        <w:numPr>
          <w:ilvl w:val="0"/>
          <w:numId w:val="7"/>
        </w:numPr>
        <w:pBdr/>
        <w:spacing w:after="120" w:line="240" w:lineRule="auto"/>
        <w:ind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</w:rPr>
      </w:pP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  <w:lang w:eastAsia="cs-CZ"/>
        </w:rPr>
        <w:t xml:space="preserve">textil –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  <w:lang w:eastAsia="cs-CZ"/>
        </w:rPr>
        <w:t xml:space="preserve">sběrná nádoba umístěná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</w:rPr>
        <w:t xml:space="preserve">v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none"/>
        </w:rPr>
        <w:t xml:space="preserve"> budově OÚ-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lze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předávat  vždy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první středu v měsíci od 17.00 do 19.00 hod.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</w:rPr>
      </w:r>
    </w:p>
    <w:p>
      <w:pPr>
        <w:pStyle w:val="951"/>
        <w:numPr>
          <w:ilvl w:val="0"/>
          <w:numId w:val="7"/>
        </w:numPr>
        <w:pBdr/>
        <w:spacing w:after="120" w:line="240" w:lineRule="auto"/>
        <w:ind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jedlé oleje a tuky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 – sběrná nádoba umístěná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</w:rPr>
        <w:t xml:space="preserve">v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none"/>
        </w:rPr>
        <w:t xml:space="preserve"> budově OÚ -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lze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předávat  vždy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první středu v měsíci od 17.00 do 19.00 hod.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</w:p>
    <w:p>
      <w:pPr>
        <w:pStyle w:val="951"/>
        <w:numPr>
          <w:ilvl w:val="0"/>
          <w:numId w:val="7"/>
        </w:numPr>
        <w:pBdr/>
        <w:spacing w:after="120" w:line="240" w:lineRule="auto"/>
        <w:ind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highlight w:val="none"/>
        </w:rPr>
        <w:t xml:space="preserve">KOVY- sběrná nádoba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  <w:t xml:space="preserve">umístěná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white"/>
        </w:rPr>
        <w:t xml:space="preserve">v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  <w:highlight w:val="none"/>
        </w:rPr>
        <w:t xml:space="preserve"> budově OÚ -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lze 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předávat  každou</w:t>
      </w:r>
      <w:r>
        <w:rPr>
          <w:rFonts w:ascii="Arial" w:hAnsi="Arial" w:cs="Arial"/>
          <w:color w:val="000000" w:themeColor="text1"/>
          <w:sz w:val="24"/>
          <w:szCs w:val="24"/>
          <w:highlight w:val="white"/>
        </w:rPr>
        <w:t xml:space="preserve"> středu  od 17.00 do 19.00 hod.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color w:val="000000" w:themeColor="text1"/>
          <w:sz w:val="24"/>
          <w:szCs w:val="24"/>
        </w:rPr>
      </w:r>
    </w:p>
    <w:p>
      <w:pPr>
        <w:pStyle w:val="951"/>
        <w:pBdr/>
        <w:spacing w:after="120" w:line="240" w:lineRule="auto"/>
        <w:ind w:left="928"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iCs/>
          <w:color w:val="000000" w:themeColor="text1"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</w:p>
    <w:p>
      <w:pPr>
        <w:pStyle w:val="951"/>
        <w:numPr>
          <w:ilvl w:val="0"/>
          <w:numId w:val="8"/>
        </w:numPr>
        <w:pBdr/>
        <w:spacing w:after="120" w:line="259" w:lineRule="auto"/>
        <w:ind w:hanging="426"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eastAsia="Calibri" w:cs="Arial"/>
          <w:iCs/>
          <w:color w:val="000000" w:themeColor="text1"/>
          <w:sz w:val="24"/>
          <w:szCs w:val="24"/>
        </w:rPr>
        <w:t xml:space="preserve">Biologicky rozložitelný odpad rostlinného původu lze </w:t>
      </w:r>
      <w:r>
        <w:rPr>
          <w:rFonts w:ascii="Arial" w:hAnsi="Arial" w:eastAsia="Calibri" w:cs="Arial"/>
          <w:iCs/>
          <w:color w:val="000000" w:themeColor="text1"/>
          <w:sz w:val="24"/>
          <w:szCs w:val="24"/>
        </w:rPr>
        <w:t xml:space="preserve">předávat </w:t>
      </w:r>
      <w:r>
        <w:rPr>
          <w:rFonts w:ascii="Arial" w:hAnsi="Arial" w:eastAsia="Calibri" w:cs="Arial"/>
          <w:iCs/>
          <w:color w:val="000000" w:themeColor="text1"/>
          <w:sz w:val="24"/>
          <w:szCs w:val="24"/>
        </w:rPr>
        <w:t xml:space="preserve">na pozemku č. 574 v </w:t>
      </w:r>
      <w:r>
        <w:rPr>
          <w:rFonts w:ascii="Arial" w:hAnsi="Arial" w:eastAsia="Calibri" w:cs="Arial"/>
          <w:iCs/>
          <w:color w:val="000000" w:themeColor="text1"/>
          <w:sz w:val="24"/>
          <w:szCs w:val="24"/>
        </w:rPr>
        <w:t xml:space="preserve">k.ú</w:t>
      </w:r>
      <w:r>
        <w:rPr>
          <w:rFonts w:ascii="Arial" w:hAnsi="Arial" w:eastAsia="Calibri" w:cs="Arial"/>
          <w:iCs/>
          <w:color w:val="000000" w:themeColor="text1"/>
          <w:sz w:val="24"/>
          <w:szCs w:val="24"/>
        </w:rPr>
        <w:t xml:space="preserve">. Důl.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numPr>
          <w:ilvl w:val="0"/>
          <w:numId w:val="8"/>
        </w:numPr>
        <w:pBdr/>
        <w:spacing w:after="120" w:before="60" w:line="240" w:lineRule="auto"/>
        <w:ind w:hanging="426" w:left="426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 xml:space="preserve">Do zvláštních sběrných nádob je zakázáno ukládat jiné složky </w:t>
      </w:r>
      <w:r>
        <w:rPr>
          <w:rFonts w:ascii="Arial" w:hAnsi="Arial" w:eastAsia="Calibri" w:cs="Arial"/>
          <w:color w:val="000000"/>
          <w:sz w:val="24"/>
          <w:szCs w:val="24"/>
        </w:rPr>
        <w:t xml:space="preserve">komunálních odpadů, než pro které jsou určeny.</w:t>
      </w:r>
      <w:r>
        <w:rPr>
          <w:rFonts w:ascii="Arial" w:hAnsi="Arial" w:eastAsia="Calibri" w:cs="Arial"/>
          <w:iCs/>
          <w:sz w:val="24"/>
          <w:szCs w:val="24"/>
        </w:rPr>
      </w:r>
      <w:r>
        <w:rPr>
          <w:rFonts w:ascii="Arial" w:hAnsi="Arial" w:eastAsia="Calibri" w:cs="Arial"/>
          <w:iCs/>
          <w:sz w:val="24"/>
          <w:szCs w:val="24"/>
        </w:rPr>
      </w:r>
    </w:p>
    <w:p>
      <w:pPr>
        <w:numPr>
          <w:ilvl w:val="0"/>
          <w:numId w:val="8"/>
        </w:numPr>
        <w:pBdr/>
        <w:spacing w:after="120" w:before="60" w:line="240" w:lineRule="auto"/>
        <w:ind w:hanging="426" w:left="426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Typizované sběrné nádoby je povinnost plnit tak, aby je bylo možno uzavřít a odpad z nich při manipulaci nevypadával. Pokud to umožňuje povaha odpadu, je nutno objem odpadu před jeho odložením do sběrné nádoby minimalizovat. </w:t>
      </w:r>
      <w:r>
        <w:rPr>
          <w:rFonts w:ascii="Arial" w:hAnsi="Arial" w:eastAsia="Calibri" w:cs="Arial"/>
          <w:iCs/>
          <w:sz w:val="24"/>
          <w:szCs w:val="24"/>
        </w:rPr>
      </w:r>
      <w:r>
        <w:rPr>
          <w:rFonts w:ascii="Arial" w:hAnsi="Arial" w:eastAsia="Calibri" w:cs="Arial"/>
          <w:iCs/>
          <w:sz w:val="24"/>
          <w:szCs w:val="24"/>
        </w:rPr>
      </w:r>
    </w:p>
    <w:p>
      <w:pPr>
        <w:pBdr/>
        <w:spacing w:after="120" w:before="60" w:line="240" w:lineRule="auto"/>
        <w:ind w:firstLine="0" w:left="0"/>
        <w:jc w:val="both"/>
        <w:rPr>
          <w:rFonts w:ascii="Arial" w:hAnsi="Arial" w:eastAsia="Calibri" w:cs="Arial"/>
          <w:color w:val="00b0f0"/>
          <w:sz w:val="24"/>
          <w:szCs w:val="24"/>
          <w:highlight w:val="yellow"/>
        </w:rPr>
      </w:pPr>
      <w:r>
        <w:rPr>
          <w:rFonts w:ascii="Arial" w:hAnsi="Arial" w:cs="Arial"/>
          <w:color w:val="00b0f0"/>
          <w:sz w:val="24"/>
          <w:szCs w:val="24"/>
          <w:highlight w:val="yellow"/>
        </w:rPr>
        <w:t xml:space="preserve"> </w:t>
      </w:r>
      <w:r>
        <w:rPr>
          <w:rFonts w:ascii="Arial" w:hAnsi="Arial" w:eastAsia="Calibri" w:cs="Arial"/>
          <w:color w:val="00b0f0"/>
          <w:sz w:val="24"/>
          <w:szCs w:val="24"/>
          <w:highlight w:val="yellow"/>
        </w:rPr>
      </w:r>
      <w:r>
        <w:rPr>
          <w:rFonts w:ascii="Arial" w:hAnsi="Arial" w:eastAsia="Calibri" w:cs="Arial"/>
          <w:color w:val="00b0f0"/>
          <w:sz w:val="24"/>
          <w:szCs w:val="24"/>
          <w:highlight w:val="yellow"/>
        </w:rPr>
      </w:r>
    </w:p>
    <w:p>
      <w:pPr>
        <w:pBdr/>
        <w:spacing w:after="0" w:line="240" w:lineRule="auto"/>
        <w:ind w:hanging="426" w:left="426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outlineLvl w:val="1"/>
        <w:rPr>
          <w:rFonts w:ascii="Arial" w:hAnsi="Arial" w:eastAsia="Times New Roman" w:cs="Arial"/>
          <w:b/>
          <w:bCs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Čl. 4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</w:p>
    <w:p>
      <w:pPr>
        <w:keepNext w:val="true"/>
        <w:pBdr/>
        <w:spacing w:after="120" w:line="240" w:lineRule="auto"/>
        <w:ind/>
        <w:jc w:val="center"/>
        <w:outlineLvl w:val="1"/>
        <w:rPr>
          <w:rFonts w:ascii="Arial" w:hAnsi="Arial" w:eastAsia="Times New Roman" w:cs="Arial"/>
          <w:b/>
          <w:bCs/>
          <w:sz w:val="24"/>
          <w:szCs w:val="20"/>
          <w:lang w:eastAsia="cs-CZ"/>
        </w:rPr>
      </w:pP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  <w:t xml:space="preserve">Svoz nebezpečných složek komunálního odpadu</w:t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  <w:r>
        <w:rPr>
          <w:rFonts w:ascii="Arial" w:hAnsi="Arial" w:eastAsia="Times New Roman" w:cs="Arial"/>
          <w:b/>
          <w:bCs/>
          <w:sz w:val="24"/>
          <w:szCs w:val="20"/>
          <w:lang w:eastAsia="cs-CZ"/>
        </w:rPr>
      </w:r>
    </w:p>
    <w:p>
      <w:pPr>
        <w:numPr>
          <w:ilvl w:val="0"/>
          <w:numId w:val="9"/>
        </w:numPr>
        <w:pBdr/>
        <w:tabs>
          <w:tab w:val="left" w:leader="none" w:pos="360"/>
        </w:tabs>
        <w:spacing w:after="120" w:line="240" w:lineRule="auto"/>
        <w:ind w:hanging="426" w:left="426"/>
        <w:jc w:val="both"/>
        <w:rPr>
          <w:rFonts w:ascii="Arial" w:hAnsi="Arial" w:eastAsia="Times New Roman" w:cs="Arial"/>
          <w:color w:val="00b0f0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Svoz nebezpečných složek komunálního odpadu je zajišťován 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  <w:t xml:space="preserve">dvakrát ročně 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jejich odebíráním na předem vyhlášených přechodných stanovištích do zvláštních sběrných nádob k tomuto sběru určených</w:t>
      </w:r>
      <w:r>
        <w:rPr>
          <w:rFonts w:ascii="Arial" w:hAnsi="Arial" w:eastAsia="Times New Roman" w:cs="Arial"/>
          <w:sz w:val="24"/>
          <w:szCs w:val="24"/>
          <w:lang w:eastAsia="cs-CZ"/>
        </w:rPr>
        <w:t xml:space="preserve">.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I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nformace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o svozu jsou zveřejňovány na úřední desce obecního úřadu, na webových stránkách obce.</w:t>
      </w:r>
      <w:r>
        <w:rPr>
          <w:rFonts w:ascii="Arial" w:hAnsi="Arial" w:eastAsia="Times New Roman" w:cs="Arial"/>
          <w:color w:val="00b0f0"/>
          <w:sz w:val="24"/>
          <w:szCs w:val="24"/>
          <w:lang w:eastAsia="cs-CZ"/>
        </w:rPr>
      </w:r>
      <w:r>
        <w:rPr>
          <w:rFonts w:ascii="Arial" w:hAnsi="Arial" w:eastAsia="Times New Roman" w:cs="Arial"/>
          <w:color w:val="00b0f0"/>
          <w:sz w:val="24"/>
          <w:szCs w:val="24"/>
          <w:lang w:eastAsia="cs-CZ"/>
        </w:rPr>
      </w:r>
    </w:p>
    <w:p>
      <w:pPr>
        <w:pBdr/>
        <w:tabs>
          <w:tab w:val="left" w:leader="none" w:pos="360"/>
        </w:tabs>
        <w:spacing w:after="120" w:line="240" w:lineRule="auto"/>
        <w:ind w:left="426"/>
        <w:jc w:val="both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numPr>
          <w:ilvl w:val="0"/>
          <w:numId w:val="9"/>
        </w:numPr>
        <w:pBdr/>
        <w:tabs>
          <w:tab w:val="left" w:leader="none" w:pos="360"/>
        </w:tabs>
        <w:spacing w:after="120" w:line="240" w:lineRule="auto"/>
        <w:ind w:hanging="426" w:left="426"/>
        <w:jc w:val="both"/>
        <w:rPr>
          <w:rFonts w:ascii="Arial" w:hAnsi="Arial" w:eastAsia="Times New Roman" w:cs="Arial"/>
          <w:iCs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Soustřeďování nebezpečných složek komunálního odpadu podléhá požadavkům stanoveným v čl. 3 odst. </w:t>
      </w:r>
      <w:r>
        <w:rPr>
          <w:rFonts w:ascii="Arial" w:hAnsi="Arial" w:cs="Arial"/>
          <w:sz w:val="24"/>
          <w:szCs w:val="24"/>
        </w:rPr>
        <w:t xml:space="preserve">4 a </w:t>
      </w:r>
      <w:r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  <w:r>
        <w:rPr>
          <w:rFonts w:ascii="Arial" w:hAnsi="Arial" w:eastAsia="Times New Roman" w:cs="Arial"/>
          <w:iCs/>
          <w:sz w:val="24"/>
          <w:szCs w:val="24"/>
          <w:lang w:eastAsia="cs-CZ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5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Svoz objemného odpadu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Style w:val="951"/>
        <w:numPr>
          <w:ilvl w:val="0"/>
          <w:numId w:val="25"/>
        </w:numPr>
        <w:pBdr/>
        <w:tabs>
          <w:tab w:val="left" w:leader="none" w:pos="360"/>
        </w:tabs>
        <w:spacing w:after="120" w:line="240" w:lineRule="auto"/>
        <w:ind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sz w:val="24"/>
          <w:lang w:eastAsia="cs-CZ"/>
        </w:rPr>
        <w:t xml:space="preserve">Svoz objemného odpadu je zajišťován </w:t>
      </w:r>
      <w:r>
        <w:rPr>
          <w:rFonts w:ascii="Arial" w:hAnsi="Arial" w:eastAsia="Times New Roman" w:cs="Arial"/>
          <w:sz w:val="24"/>
          <w:lang w:eastAsia="cs-CZ"/>
        </w:rPr>
        <w:t xml:space="preserve">minimálně jedenkrát ročně </w:t>
      </w:r>
      <w:r>
        <w:rPr>
          <w:rFonts w:ascii="Arial" w:hAnsi="Arial" w:eastAsia="Times New Roman" w:cs="Arial"/>
          <w:sz w:val="24"/>
          <w:lang w:eastAsia="cs-CZ"/>
        </w:rPr>
        <w:t xml:space="preserve">jeho odebíráním na předem vyhlášených přechodných stanovištích přímo do zvláštních sběrných nádob k tomuto účelu určených.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Informace o svozu jsou zveřejňovány na úřední desce obecního úřadu, na webových stránkách obce.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color w:val="000000" w:themeColor="text1"/>
          <w:sz w:val="24"/>
          <w:szCs w:val="24"/>
        </w:rPr>
      </w:r>
    </w:p>
    <w:p>
      <w:pPr>
        <w:numPr>
          <w:ilvl w:val="0"/>
          <w:numId w:val="25"/>
        </w:numPr>
        <w:pBdr/>
        <w:tabs>
          <w:tab w:val="left" w:leader="none" w:pos="360"/>
        </w:tabs>
        <w:spacing w:after="120" w:line="240" w:lineRule="auto"/>
        <w:ind/>
        <w:jc w:val="both"/>
        <w:rPr>
          <w:rFonts w:ascii="Arial" w:hAnsi="Arial" w:eastAsia="Times New Roman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Soustřeďování nebezpečných složek komunálního odpadu podléhá požadavkům stanoveným v čl. 3 odst. 4 a 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iCs/>
          <w:color w:val="000000" w:themeColor="text1"/>
          <w:sz w:val="24"/>
          <w:szCs w:val="24"/>
        </w:rPr>
      </w:r>
    </w:p>
    <w:p>
      <w:pPr>
        <w:pBdr/>
        <w:spacing w:after="60" w:line="240" w:lineRule="auto"/>
        <w:ind w:left="425"/>
        <w:jc w:val="both"/>
        <w:rPr>
          <w:rFonts w:ascii="Arial" w:hAnsi="Arial" w:eastAsia="Times New Roman" w:cs="Arial"/>
          <w:iCs/>
          <w:sz w:val="24"/>
          <w:lang w:eastAsia="cs-CZ"/>
        </w:rPr>
      </w:pP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  <w:r>
        <w:rPr>
          <w:rFonts w:ascii="Arial" w:hAnsi="Arial" w:eastAsia="Times New Roman" w:cs="Arial"/>
          <w:iCs/>
          <w:sz w:val="24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6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Soustřeďování směsného komunálního odpadu 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widowControl w:val="false"/>
        <w:numPr>
          <w:ilvl w:val="0"/>
          <w:numId w:val="16"/>
        </w:numPr>
        <w:pBdr/>
        <w:spacing w:after="0" w:line="240" w:lineRule="auto"/>
        <w:ind w:hanging="426" w:left="426"/>
        <w:jc w:val="both"/>
        <w:rPr>
          <w:rFonts w:ascii="Arial" w:hAnsi="Arial" w:cs="Arial"/>
          <w:strike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Směsný komunální odpad se odkládá do typizovaných sběrných nádob. Pro účely této vyhlášky se sběrnými nádobami rozumějí</w:t>
      </w:r>
      <w:r>
        <w:rPr>
          <w:rFonts w:ascii="Arial" w:hAnsi="Arial" w:cs="Arial"/>
          <w:strike/>
          <w:color w:val="00b0f0"/>
          <w:sz w:val="24"/>
          <w:szCs w:val="24"/>
        </w:rPr>
      </w:r>
      <w:r>
        <w:rPr>
          <w:rFonts w:ascii="Arial" w:hAnsi="Arial" w:cs="Arial"/>
          <w:strike/>
          <w:color w:val="00b0f0"/>
          <w:sz w:val="24"/>
          <w:szCs w:val="24"/>
        </w:rPr>
      </w:r>
    </w:p>
    <w:p>
      <w:pPr>
        <w:numPr>
          <w:ilvl w:val="0"/>
          <w:numId w:val="2"/>
        </w:numPr>
        <w:pBdr/>
        <w:spacing w:after="0" w:line="240" w:lineRule="auto"/>
        <w:ind w:firstLine="6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popelnice</w:t>
      </w: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  <w:r>
        <w:rPr>
          <w:rFonts w:ascii="Arial" w:hAnsi="Arial" w:cs="Arial"/>
          <w:iCs/>
          <w:sz w:val="24"/>
          <w:szCs w:val="24"/>
        </w:rPr>
      </w:r>
    </w:p>
    <w:p>
      <w:pPr>
        <w:numPr>
          <w:ilvl w:val="0"/>
          <w:numId w:val="16"/>
        </w:numPr>
        <w:pBdr/>
        <w:spacing w:after="0" w:line="240" w:lineRule="auto"/>
        <w:ind w:hanging="426" w:left="426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Soustřeďování směsného komunálního odpadu podléhá požadavkům stanoveným v čl.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 odst.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4 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>
        <w:rPr>
          <w:rFonts w:ascii="Arial" w:hAnsi="Arial" w:cs="Arial"/>
          <w:color w:val="00b0f0"/>
          <w:sz w:val="24"/>
          <w:szCs w:val="24"/>
        </w:rPr>
      </w:r>
      <w:r>
        <w:rPr>
          <w:rFonts w:ascii="Arial" w:hAnsi="Arial" w:cs="Arial"/>
          <w:color w:val="00b0f0"/>
          <w:sz w:val="24"/>
          <w:szCs w:val="24"/>
        </w:rPr>
      </w:r>
    </w:p>
    <w:p>
      <w:pPr>
        <w:keepNext w:val="true"/>
        <w:pBdr/>
        <w:spacing w:after="120" w:line="240" w:lineRule="auto"/>
        <w:ind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before="36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7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Nakládání se stavebním odpadem a demoličním odpadem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numPr>
          <w:ilvl w:val="0"/>
          <w:numId w:val="4"/>
        </w:numPr>
        <w:pBdr/>
        <w:tabs>
          <w:tab w:val="num" w:leader="none" w:pos="540"/>
        </w:tabs>
        <w:spacing w:after="120" w:line="240" w:lineRule="auto"/>
        <w:ind w:hanging="540" w:left="54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Stavebním odpadem a demoličním odpadem se rozumí odpad vznikající při stavebních a demoličních činnostech nepodnikajících fyzických osob. Stavební a demoliční odpad není odpadem komunálním.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numPr>
          <w:ilvl w:val="0"/>
          <w:numId w:val="4"/>
        </w:numPr>
        <w:pBdr/>
        <w:tabs>
          <w:tab w:val="num" w:leader="none" w:pos="540"/>
        </w:tabs>
        <w:spacing w:after="120" w:line="240" w:lineRule="auto"/>
        <w:ind w:hanging="540" w:left="540"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  <w:t xml:space="preserve">Stavební odpad lze použít, předat či zlikvidovat zákonem stanoveným způsobem.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numPr>
          <w:ilvl w:val="0"/>
          <w:numId w:val="4"/>
        </w:numPr>
        <w:pBdr/>
        <w:tabs>
          <w:tab w:val="clear" w:leader="none" w:pos="720"/>
        </w:tabs>
        <w:spacing w:after="120" w:line="240" w:lineRule="auto"/>
        <w:ind w:hanging="567"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odložení stavebního odpadu je možné objednat prostřednictvím obecního úřadu kontejner, který bude za úplatu přistaven a odvezen.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8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Zrušovací ustanovení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/>
        <w:ind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Zrušuje se obecně závazná vyhláška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č. 1/20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25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,</w:t>
      </w:r>
      <w:r>
        <w:rPr>
          <w:color w:val="000000" w:themeColor="text1"/>
        </w:rPr>
        <w:t xml:space="preserve">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o stanovení obecního systému odpadového hospodářství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 ze dne 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19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.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2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.20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25</w:t>
      </w:r>
      <w:r>
        <w:rPr>
          <w:rFonts w:ascii="Arial" w:hAnsi="Arial" w:eastAsia="Times New Roman" w:cs="Arial"/>
          <w:color w:val="000000" w:themeColor="text1"/>
          <w:sz w:val="24"/>
          <w:szCs w:val="24"/>
          <w:lang w:eastAsia="cs-CZ"/>
        </w:rPr>
        <w:t xml:space="preserve">.</w:t>
      </w:r>
      <w:r>
        <w:rPr>
          <w:rFonts w:ascii="Arial" w:hAnsi="Arial" w:eastAsia="Times New Roman" w:cs="Arial"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color w:val="000000" w:themeColor="text1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 xml:space="preserve">Čl. 9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keepNext w:val="true"/>
        <w:pBdr/>
        <w:tabs>
          <w:tab w:val="center" w:leader="none" w:pos="4535"/>
          <w:tab w:val="left" w:leader="none" w:pos="8325"/>
        </w:tabs>
        <w:spacing w:after="120" w:line="240" w:lineRule="auto"/>
        <w:ind/>
        <w:rPr>
          <w:rFonts w:ascii="Arial" w:hAnsi="Arial" w:eastAsia="Times New Roman" w:cs="Arial"/>
          <w:b/>
          <w:sz w:val="24"/>
          <w:szCs w:val="24"/>
          <w:lang w:eastAsia="cs-CZ"/>
        </w:rPr>
      </w:pPr>
      <w:r>
        <w:rPr>
          <w:rFonts w:ascii="Arial" w:hAnsi="Arial" w:eastAsia="Times New Roman" w:cs="Arial"/>
          <w:b/>
          <w:sz w:val="24"/>
          <w:szCs w:val="24"/>
          <w:lang w:eastAsia="cs-CZ"/>
        </w:rPr>
        <w:tab/>
        <w:t xml:space="preserve">Účinnost</w:t>
      </w:r>
      <w:r>
        <w:rPr>
          <w:rFonts w:ascii="Arial" w:hAnsi="Arial" w:eastAsia="Times New Roman" w:cs="Arial"/>
          <w:b/>
          <w:sz w:val="24"/>
          <w:szCs w:val="24"/>
          <w:lang w:eastAsia="cs-CZ"/>
        </w:rPr>
        <w:tab/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  <w:r>
        <w:rPr>
          <w:rFonts w:ascii="Arial" w:hAnsi="Arial" w:eastAsia="Times New Roman" w:cs="Arial"/>
          <w:b/>
          <w:sz w:val="24"/>
          <w:szCs w:val="24"/>
          <w:lang w:eastAsia="cs-CZ"/>
        </w:rPr>
      </w:r>
    </w:p>
    <w:p>
      <w:pPr>
        <w:pBdr/>
        <w:spacing w:after="0" w:line="240" w:lineRule="auto"/>
        <w:ind/>
        <w:jc w:val="both"/>
        <w:rPr>
          <w:rFonts w:ascii="Arial" w:hAnsi="Arial" w:eastAsia="Times New Roman" w:cs="Arial"/>
          <w:sz w:val="24"/>
          <w:szCs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Tato vyhláška nabývá účinnosti počátkem patnáctého dne po dni jejího vyhlášení.</w:t>
      </w:r>
      <w:r>
        <w:rPr>
          <w:rFonts w:ascii="Arial" w:hAnsi="Arial" w:eastAsia="Times New Roman" w:cs="Arial"/>
          <w:sz w:val="24"/>
          <w:szCs w:val="24"/>
          <w:lang w:eastAsia="cs-CZ"/>
        </w:rPr>
      </w:r>
      <w:r>
        <w:rPr>
          <w:rFonts w:ascii="Arial" w:hAnsi="Arial" w:eastAsia="Times New Roman" w:cs="Arial"/>
          <w:sz w:val="24"/>
          <w:szCs w:val="24"/>
          <w:lang w:eastAsia="cs-CZ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ar-SA"/>
        </w:rPr>
      </w:pPr>
      <w:r>
        <w:rPr>
          <w:rFonts w:ascii="Arial" w:hAnsi="Arial" w:eastAsia="Times New Roman" w:cs="Arial"/>
          <w:bCs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  <w:r>
        <w:rPr>
          <w:rFonts w:ascii="Arial" w:hAnsi="Arial" w:eastAsia="Times New Roman" w:cs="Arial"/>
          <w:bCs/>
          <w:i/>
          <w:lang w:eastAsia="ar-SA"/>
        </w:rPr>
      </w:r>
    </w:p>
    <w:p>
      <w:pPr>
        <w:pBdr/>
        <w:tabs>
          <w:tab w:val="left" w:leader="none" w:pos="144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bCs/>
          <w:i/>
          <w:lang w:eastAsia="cs-CZ"/>
        </w:rPr>
      </w:r>
      <w:r>
        <w:rPr>
          <w:rFonts w:ascii="Arial" w:hAnsi="Arial" w:eastAsia="Times New Roman" w:cs="Arial"/>
          <w:bCs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bCs/>
          <w:i/>
          <w:lang w:eastAsia="cs-CZ"/>
        </w:rPr>
      </w:r>
      <w:r>
        <w:rPr>
          <w:rFonts w:ascii="Arial" w:hAnsi="Arial" w:eastAsia="Times New Roman" w:cs="Arial"/>
          <w:bCs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bCs/>
          <w:i/>
          <w:lang w:eastAsia="cs-CZ"/>
        </w:rPr>
      </w:r>
      <w:r>
        <w:rPr>
          <w:rFonts w:ascii="Arial" w:hAnsi="Arial" w:eastAsia="Times New Roman" w:cs="Arial"/>
          <w:bCs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bCs/>
          <w:i/>
          <w:lang w:eastAsia="cs-CZ"/>
        </w:rPr>
      </w:r>
      <w:r>
        <w:rPr>
          <w:rFonts w:ascii="Arial" w:hAnsi="Arial" w:eastAsia="Times New Roman" w:cs="Arial"/>
          <w:bCs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bCs/>
          <w:i/>
          <w:lang w:eastAsia="cs-CZ"/>
        </w:rPr>
      </w:r>
      <w:r>
        <w:rPr>
          <w:rFonts w:ascii="Arial" w:hAnsi="Arial" w:eastAsia="Times New Roman" w:cs="Arial"/>
          <w:bCs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bCs/>
          <w:i/>
          <w:lang w:eastAsia="cs-CZ"/>
        </w:rPr>
      </w:pPr>
      <w:r>
        <w:rPr>
          <w:rFonts w:ascii="Arial" w:hAnsi="Arial" w:eastAsia="Times New Roman" w:cs="Arial"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720"/>
          <w:tab w:val="left" w:leader="none" w:pos="6120"/>
        </w:tabs>
        <w:spacing w:after="0" w:line="264" w:lineRule="auto"/>
        <w:ind/>
        <w:rPr>
          <w:rFonts w:ascii="Arial" w:hAnsi="Arial" w:eastAsia="Times New Roman" w:cs="Arial"/>
          <w:i/>
          <w:lang w:eastAsia="cs-CZ"/>
        </w:rPr>
      </w:pPr>
      <w:r>
        <w:rPr>
          <w:rFonts w:ascii="Arial" w:hAnsi="Arial" w:eastAsia="Times New Roman" w:cs="Arial"/>
          <w:i/>
          <w:lang w:eastAsia="cs-CZ"/>
        </w:rPr>
        <w:t xml:space="preserve">...................................</w:t>
      </w:r>
      <w:r>
        <w:rPr>
          <w:rFonts w:ascii="Arial" w:hAnsi="Arial" w:eastAsia="Times New Roman" w:cs="Arial"/>
          <w:i/>
          <w:lang w:eastAsia="cs-CZ"/>
        </w:rPr>
        <w:tab/>
        <w:t xml:space="preserve">..........................................</w:t>
      </w:r>
      <w:r>
        <w:rPr>
          <w:rFonts w:ascii="Arial" w:hAnsi="Arial" w:eastAsia="Times New Roman" w:cs="Arial"/>
          <w:i/>
          <w:lang w:eastAsia="cs-CZ"/>
        </w:rPr>
      </w:r>
      <w:r>
        <w:rPr>
          <w:rFonts w:ascii="Arial" w:hAnsi="Arial" w:eastAsia="Times New Roman" w:cs="Arial"/>
          <w:i/>
          <w:lang w:eastAsia="cs-CZ"/>
        </w:rPr>
      </w:r>
    </w:p>
    <w:p>
      <w:pPr>
        <w:pBdr/>
        <w:tabs>
          <w:tab w:val="left" w:leader="none" w:pos="284"/>
          <w:tab w:val="left" w:leader="none" w:pos="6379"/>
        </w:tabs>
        <w:spacing w:after="120" w:line="240" w:lineRule="auto"/>
        <w:ind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lang w:eastAsia="cs-CZ"/>
        </w:rPr>
        <w:t xml:space="preserve">     Josef Pícha</w:t>
      </w:r>
      <w:r>
        <w:rPr>
          <w:rFonts w:ascii="Arial" w:hAnsi="Arial" w:eastAsia="Times New Roman" w:cs="Arial"/>
          <w:lang w:eastAsia="cs-CZ"/>
        </w:rPr>
        <w:tab/>
        <w:t xml:space="preserve">   Pavel Strnad</w:t>
      </w:r>
      <w:r>
        <w:rPr>
          <w:rFonts w:ascii="Arial" w:hAnsi="Arial" w:eastAsia="Times New Roman" w:cs="Arial"/>
          <w:lang w:eastAsia="cs-CZ"/>
        </w:rPr>
      </w:r>
      <w:r>
        <w:rPr>
          <w:rFonts w:ascii="Arial" w:hAnsi="Arial" w:eastAsia="Times New Roman" w:cs="Arial"/>
          <w:lang w:eastAsia="cs-CZ"/>
        </w:rPr>
      </w:r>
    </w:p>
    <w:p>
      <w:pPr>
        <w:pBdr/>
        <w:tabs>
          <w:tab w:val="left" w:leader="none" w:pos="284"/>
          <w:tab w:val="left" w:leader="none" w:pos="6379"/>
        </w:tabs>
        <w:spacing w:after="120" w:line="240" w:lineRule="auto"/>
        <w:ind/>
        <w:rPr>
          <w:rFonts w:ascii="Arial" w:hAnsi="Arial" w:eastAsia="Times New Roman" w:cs="Arial"/>
          <w:lang w:eastAsia="cs-CZ"/>
        </w:rPr>
      </w:pPr>
      <w:r>
        <w:rPr>
          <w:rFonts w:ascii="Arial" w:hAnsi="Arial" w:eastAsia="Times New Roman" w:cs="Arial"/>
          <w:sz w:val="24"/>
          <w:szCs w:val="20"/>
          <w:lang w:eastAsia="cs-CZ"/>
        </w:rPr>
        <w:t xml:space="preserve">    </w:t>
      </w:r>
      <w:r>
        <w:rPr>
          <w:rFonts w:ascii="Arial" w:hAnsi="Arial" w:eastAsia="Times New Roman" w:cs="Arial"/>
          <w:lang w:eastAsia="cs-CZ"/>
        </w:rPr>
        <w:t xml:space="preserve">místostarosta</w:t>
      </w:r>
      <w:r>
        <w:rPr>
          <w:rFonts w:ascii="Arial" w:hAnsi="Arial" w:eastAsia="Times New Roman" w:cs="Arial"/>
          <w:lang w:eastAsia="cs-CZ"/>
        </w:rPr>
        <w:tab/>
        <w:t xml:space="preserve">       starosta</w:t>
      </w:r>
      <w:r>
        <w:rPr>
          <w:rFonts w:ascii="Arial" w:hAnsi="Arial" w:eastAsia="Times New Roman" w:cs="Arial"/>
          <w:lang w:eastAsia="cs-CZ"/>
        </w:rPr>
      </w:r>
      <w:r>
        <w:rPr>
          <w:rFonts w:ascii="Arial" w:hAnsi="Arial" w:eastAsia="Times New Roman" w:cs="Arial"/>
          <w:lang w:eastAsia="cs-CZ"/>
        </w:rPr>
      </w:r>
    </w:p>
    <w:p>
      <w:pPr>
        <w:pBdr/>
        <w:spacing/>
        <w:ind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pBdr/>
        <w:spacing/>
        <w:ind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p>
      <w:pPr>
        <w:pBdr/>
        <w:tabs>
          <w:tab w:val="left" w:leader="none" w:pos="108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Vyvěšeno na úřední desce dne :   17.května 2025</w:t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pBdr/>
        <w:tabs>
          <w:tab w:val="left" w:leader="none" w:pos="1080"/>
          <w:tab w:val="left" w:leader="none" w:pos="7020"/>
        </w:tabs>
        <w:spacing w:after="0" w:line="264" w:lineRule="auto"/>
        <w:ind/>
        <w:rPr>
          <w:rFonts w:ascii="Arial" w:hAnsi="Arial" w:eastAsia="Times New Roman" w:cs="Arial"/>
          <w:sz w:val="24"/>
          <w:lang w:eastAsia="cs-CZ"/>
        </w:rPr>
      </w:pPr>
      <w:r>
        <w:rPr>
          <w:rFonts w:ascii="Arial" w:hAnsi="Arial" w:eastAsia="Times New Roman" w:cs="Arial"/>
          <w:sz w:val="24"/>
          <w:lang w:eastAsia="cs-CZ"/>
        </w:rPr>
        <w:t xml:space="preserve">Sejmuto z úřední desky dne      :     6.června 2025</w:t>
      </w:r>
      <w:r>
        <w:rPr>
          <w:rFonts w:ascii="Arial" w:hAnsi="Arial" w:eastAsia="Times New Roman" w:cs="Arial"/>
          <w:sz w:val="24"/>
          <w:lang w:eastAsia="cs-CZ"/>
        </w:rPr>
      </w:r>
      <w:r>
        <w:rPr>
          <w:rFonts w:ascii="Arial" w:hAnsi="Arial" w:eastAsia="Times New Roman" w:cs="Arial"/>
          <w:sz w:val="24"/>
          <w:lang w:eastAsia="cs-CZ"/>
        </w:rPr>
      </w:r>
    </w:p>
    <w:p>
      <w:pPr>
        <w:pBdr/>
        <w:spacing/>
        <w:ind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  <w:r>
        <w:rPr>
          <w:rFonts w:ascii="Calibri" w:hAnsi="Calibri" w:eastAsia="Calibri" w:cs="Times New Roman"/>
        </w:rPr>
      </w:r>
    </w:p>
    <w:sectPr>
      <w:footerReference w:type="default" r:id="rId9"/>
      <w:footnotePr/>
      <w:endnotePr/>
      <w:type w:val="nextPage"/>
      <w:pgSz w:h="16838" w:orient="portrait" w:w="11906"/>
      <w:pgMar w:top="1418" w:right="1417" w:bottom="1135" w:left="1418" w:header="708" w:footer="55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pBdr/>
      <w:spacing/>
      <w:ind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 xml:space="preserve">2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</w:r>
    <w:r>
      <w:rPr>
        <w:caps/>
        <w:color w:val="4f81bd" w:themeColor="accent1"/>
      </w:rPr>
    </w:r>
  </w:p>
  <w:p>
    <w:pPr>
      <w:pStyle w:val="9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45"/>
        <w:pBdr/>
        <w:spacing/>
        <w:ind/>
        <w:rPr>
          <w:rFonts w:ascii="Arial" w:hAnsi="Arial" w:cs="Arial"/>
        </w:rPr>
      </w:pPr>
      <w:r>
        <w:rPr>
          <w:rStyle w:val="947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  <w:footnote w:id="3">
    <w:p>
      <w:pPr>
        <w:pStyle w:val="945"/>
        <w:pBdr/>
        <w:spacing/>
        <w:ind/>
        <w:rPr/>
      </w:pPr>
      <w:r>
        <w:rPr>
          <w:rStyle w:val="947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(%1)"/>
      <w:numFmt w:val="decimal"/>
      <w:pPr>
        <w:pBdr/>
        <w:spacing/>
        <w:ind w:hanging="360" w:left="720"/>
      </w:pPr>
      <w:rPr>
        <w:rFonts w:hint="default"/>
        <w:b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(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strike w:val="0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0">
    <w:lvl w:ilvl="0">
      <w:isLgl w:val="false"/>
      <w:lvlJc w:val="left"/>
      <w:lvlText w:val="(%1)"/>
      <w:numFmt w:val="decimal"/>
      <w:pPr>
        <w:pBdr/>
        <w:spacing/>
        <w:ind w:hanging="360" w:left="6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/>
      <w:numFmt w:val="none"/>
      <w:pPr>
        <w:pBdr/>
        <w:tabs>
          <w:tab w:val="num" w:leader="none" w:pos="432"/>
        </w:tabs>
        <w:spacing/>
        <w:ind w:hanging="432" w:left="432"/>
      </w:pPr>
      <w:rPr/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3">
      <w:isLgl w:val="false"/>
      <w:lvlJc w:val="left"/>
      <w:lvlText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tab"/>
    </w:lvl>
    <w:lvl w:ilvl="4">
      <w:isLgl w:val="false"/>
      <w:lvlJc w:val="left"/>
      <w:lvlText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tab"/>
    </w:lvl>
    <w:lvl w:ilvl="5">
      <w:isLgl w:val="false"/>
      <w:lvlJc w:val="left"/>
      <w:lvlText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tab"/>
    </w:lvl>
    <w:lvl w:ilvl="6">
      <w:isLgl w:val="false"/>
      <w:lvlJc w:val="left"/>
      <w:lvlText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tab"/>
    </w:lvl>
    <w:lvl w:ilvl="7">
      <w:isLgl w:val="false"/>
      <w:lvlJc w:val="left"/>
      <w:lvlText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tab"/>
    </w:lvl>
    <w:lvl w:ilvl="8">
      <w:isLgl w:val="false"/>
      <w:lvlJc w:val="left"/>
      <w:lvlText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lowerLetter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20"/>
  </w:num>
  <w:num w:numId="6">
    <w:abstractNumId w:val="13"/>
  </w:num>
  <w:num w:numId="7">
    <w:abstractNumId w:val="19"/>
  </w:num>
  <w:num w:numId="8">
    <w:abstractNumId w:val="21"/>
  </w:num>
  <w:num w:numId="9">
    <w:abstractNumId w:val="23"/>
  </w:num>
  <w:num w:numId="10">
    <w:abstractNumId w:val="22"/>
  </w:num>
  <w:num w:numId="11">
    <w:abstractNumId w:val="2"/>
  </w:num>
  <w:num w:numId="12">
    <w:abstractNumId w:val="16"/>
  </w:num>
  <w:num w:numId="13">
    <w:abstractNumId w:val="12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11"/>
  </w:num>
  <w:num w:numId="19">
    <w:abstractNumId w:val="24"/>
  </w:num>
  <w:num w:numId="20">
    <w:abstractNumId w:val="17"/>
  </w:num>
  <w:num w:numId="21">
    <w:abstractNumId w:val="4"/>
  </w:num>
  <w:num w:numId="22">
    <w:abstractNumId w:val="7"/>
  </w:num>
  <w:num w:numId="23">
    <w:abstractNumId w:val="18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778"/>
    <w:link w:val="76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5">
    <w:name w:val="Heading 2 Char"/>
    <w:basedOn w:val="778"/>
    <w:link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6">
    <w:name w:val="Heading 3 Char"/>
    <w:basedOn w:val="778"/>
    <w:link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7">
    <w:name w:val="Heading 4 Char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8">
    <w:name w:val="Heading 5 Char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6 Char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7 Char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778"/>
    <w:link w:val="790"/>
    <w:uiPriority w:val="10"/>
    <w:pPr>
      <w:pBdr/>
      <w:spacing/>
      <w:ind/>
    </w:pPr>
    <w:rPr>
      <w:sz w:val="48"/>
      <w:szCs w:val="48"/>
    </w:rPr>
  </w:style>
  <w:style w:type="character" w:styleId="764">
    <w:name w:val="Subtitle Char"/>
    <w:basedOn w:val="778"/>
    <w:link w:val="792"/>
    <w:uiPriority w:val="11"/>
    <w:pPr>
      <w:pBdr/>
      <w:spacing/>
      <w:ind/>
    </w:pPr>
    <w:rPr>
      <w:sz w:val="24"/>
      <w:szCs w:val="24"/>
    </w:rPr>
  </w:style>
  <w:style w:type="character" w:styleId="765">
    <w:name w:val="Quote Char"/>
    <w:link w:val="794"/>
    <w:uiPriority w:val="29"/>
    <w:pPr>
      <w:pBdr/>
      <w:spacing/>
      <w:ind/>
    </w:pPr>
    <w:rPr>
      <w:i/>
    </w:rPr>
  </w:style>
  <w:style w:type="character" w:styleId="766">
    <w:name w:val="Intense Quote Char"/>
    <w:link w:val="796"/>
    <w:uiPriority w:val="30"/>
    <w:pPr>
      <w:pBdr/>
      <w:spacing/>
      <w:ind/>
    </w:pPr>
    <w:rPr>
      <w:i/>
    </w:rPr>
  </w:style>
  <w:style w:type="character" w:styleId="767">
    <w:name w:val="Endnote Text Char"/>
    <w:link w:val="930"/>
    <w:uiPriority w:val="99"/>
    <w:pPr>
      <w:pBdr/>
      <w:spacing/>
      <w:ind/>
    </w:pPr>
    <w:rPr>
      <w:sz w:val="20"/>
    </w:rPr>
  </w:style>
  <w:style w:type="paragraph" w:styleId="768" w:default="1">
    <w:name w:val="Normal"/>
    <w:qFormat/>
    <w:pPr>
      <w:pBdr/>
      <w:spacing/>
      <w:ind/>
    </w:pPr>
  </w:style>
  <w:style w:type="paragraph" w:styleId="769">
    <w:name w:val="Heading 1"/>
    <w:basedOn w:val="768"/>
    <w:next w:val="768"/>
    <w:link w:val="78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0">
    <w:name w:val="Heading 2"/>
    <w:basedOn w:val="768"/>
    <w:next w:val="768"/>
    <w:link w:val="78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71">
    <w:name w:val="Heading 3"/>
    <w:basedOn w:val="768"/>
    <w:next w:val="768"/>
    <w:link w:val="78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72">
    <w:name w:val="Heading 4"/>
    <w:basedOn w:val="768"/>
    <w:next w:val="768"/>
    <w:link w:val="78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8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78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75">
    <w:name w:val="Heading 7"/>
    <w:basedOn w:val="768"/>
    <w:next w:val="768"/>
    <w:link w:val="78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6">
    <w:name w:val="Heading 8"/>
    <w:basedOn w:val="768"/>
    <w:next w:val="768"/>
    <w:link w:val="78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77">
    <w:name w:val="Heading 9"/>
    <w:basedOn w:val="768"/>
    <w:next w:val="768"/>
    <w:link w:val="78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 w:customStyle="1">
    <w:name w:val="Nadpis 1 Char"/>
    <w:basedOn w:val="778"/>
    <w:link w:val="76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Nadpis 2 Char"/>
    <w:basedOn w:val="778"/>
    <w:link w:val="77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Nadpis 3 Char"/>
    <w:basedOn w:val="778"/>
    <w:link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Nadpis 4 Char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Nadpis 5 Char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Nadpis 6 Char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Nadpis 7 Char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Nadpis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Nadpis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Title"/>
    <w:basedOn w:val="768"/>
    <w:next w:val="768"/>
    <w:link w:val="791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91" w:customStyle="1">
    <w:name w:val="Název Char"/>
    <w:basedOn w:val="778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basedOn w:val="768"/>
    <w:next w:val="768"/>
    <w:link w:val="793"/>
    <w:uiPriority w:val="11"/>
    <w:qFormat/>
    <w:pPr>
      <w:pBdr/>
      <w:spacing w:before="200"/>
      <w:ind/>
    </w:pPr>
    <w:rPr>
      <w:sz w:val="24"/>
      <w:szCs w:val="24"/>
    </w:rPr>
  </w:style>
  <w:style w:type="character" w:styleId="793" w:customStyle="1">
    <w:name w:val="Podnadpis Char"/>
    <w:basedOn w:val="778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Quote"/>
    <w:basedOn w:val="768"/>
    <w:next w:val="768"/>
    <w:link w:val="795"/>
    <w:uiPriority w:val="29"/>
    <w:qFormat/>
    <w:pPr>
      <w:pBdr/>
      <w:spacing/>
      <w:ind w:right="720" w:left="720"/>
    </w:pPr>
    <w:rPr>
      <w:i/>
    </w:rPr>
  </w:style>
  <w:style w:type="character" w:styleId="795" w:customStyle="1">
    <w:name w:val="Citát Char"/>
    <w:link w:val="794"/>
    <w:uiPriority w:val="29"/>
    <w:pPr>
      <w:pBdr/>
      <w:spacing/>
      <w:ind/>
    </w:pPr>
    <w:rPr>
      <w:i/>
    </w:rPr>
  </w:style>
  <w:style w:type="paragraph" w:styleId="796">
    <w:name w:val="Intense Quote"/>
    <w:basedOn w:val="768"/>
    <w:next w:val="768"/>
    <w:link w:val="7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7" w:customStyle="1">
    <w:name w:val="Výrazný citát Char"/>
    <w:link w:val="796"/>
    <w:uiPriority w:val="30"/>
    <w:pPr>
      <w:pBdr/>
      <w:spacing/>
      <w:ind/>
    </w:pPr>
    <w:rPr>
      <w:i/>
    </w:rPr>
  </w:style>
  <w:style w:type="character" w:styleId="798" w:customStyle="1">
    <w:name w:val="Header Char"/>
    <w:basedOn w:val="778"/>
    <w:uiPriority w:val="99"/>
    <w:pPr>
      <w:pBdr/>
      <w:spacing/>
      <w:ind/>
    </w:pPr>
  </w:style>
  <w:style w:type="character" w:styleId="799" w:customStyle="1">
    <w:name w:val="Footer Char"/>
    <w:basedOn w:val="778"/>
    <w:uiPriority w:val="99"/>
    <w:pPr>
      <w:pBdr/>
      <w:spacing/>
      <w:ind/>
    </w:pPr>
  </w:style>
  <w:style w:type="paragraph" w:styleId="800">
    <w:name w:val="Caption"/>
    <w:basedOn w:val="768"/>
    <w:next w:val="76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  <w:pPr>
      <w:pBdr/>
      <w:spacing/>
      <w:ind/>
    </w:pPr>
  </w:style>
  <w:style w:type="table" w:styleId="802">
    <w:name w:val="Table Grid"/>
    <w:basedOn w:val="77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basedOn w:val="77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29" w:customStyle="1">
    <w:name w:val="Footnote Text Char"/>
    <w:uiPriority w:val="99"/>
    <w:pPr>
      <w:pBdr/>
      <w:spacing/>
      <w:ind/>
    </w:pPr>
    <w:rPr>
      <w:sz w:val="18"/>
    </w:rPr>
  </w:style>
  <w:style w:type="paragraph" w:styleId="930">
    <w:name w:val="endnote text"/>
    <w:basedOn w:val="768"/>
    <w:link w:val="93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1" w:customStyle="1">
    <w:name w:val="Text vysvětlivek Char"/>
    <w:link w:val="930"/>
    <w:uiPriority w:val="99"/>
    <w:pPr>
      <w:pBdr/>
      <w:spacing/>
      <w:ind/>
    </w:pPr>
    <w:rPr>
      <w:sz w:val="20"/>
    </w:rPr>
  </w:style>
  <w:style w:type="character" w:styleId="932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toc 1"/>
    <w:basedOn w:val="768"/>
    <w:next w:val="768"/>
    <w:uiPriority w:val="39"/>
    <w:unhideWhenUsed/>
    <w:pPr>
      <w:pBdr/>
      <w:spacing w:after="57"/>
      <w:ind/>
    </w:pPr>
  </w:style>
  <w:style w:type="paragraph" w:styleId="934">
    <w:name w:val="toc 2"/>
    <w:basedOn w:val="768"/>
    <w:next w:val="768"/>
    <w:uiPriority w:val="39"/>
    <w:unhideWhenUsed/>
    <w:pPr>
      <w:pBdr/>
      <w:spacing w:after="57"/>
      <w:ind w:left="283"/>
    </w:pPr>
  </w:style>
  <w:style w:type="paragraph" w:styleId="935">
    <w:name w:val="toc 3"/>
    <w:basedOn w:val="768"/>
    <w:next w:val="768"/>
    <w:uiPriority w:val="39"/>
    <w:unhideWhenUsed/>
    <w:pPr>
      <w:pBdr/>
      <w:spacing w:after="57"/>
      <w:ind w:left="567"/>
    </w:pPr>
  </w:style>
  <w:style w:type="paragraph" w:styleId="936">
    <w:name w:val="toc 4"/>
    <w:basedOn w:val="768"/>
    <w:next w:val="768"/>
    <w:uiPriority w:val="39"/>
    <w:unhideWhenUsed/>
    <w:pPr>
      <w:pBdr/>
      <w:spacing w:after="57"/>
      <w:ind w:left="850"/>
    </w:pPr>
  </w:style>
  <w:style w:type="paragraph" w:styleId="937">
    <w:name w:val="toc 5"/>
    <w:basedOn w:val="768"/>
    <w:next w:val="768"/>
    <w:uiPriority w:val="39"/>
    <w:unhideWhenUsed/>
    <w:pPr>
      <w:pBdr/>
      <w:spacing w:after="57"/>
      <w:ind w:left="1134"/>
    </w:pPr>
  </w:style>
  <w:style w:type="paragraph" w:styleId="938">
    <w:name w:val="toc 6"/>
    <w:basedOn w:val="768"/>
    <w:next w:val="768"/>
    <w:uiPriority w:val="39"/>
    <w:unhideWhenUsed/>
    <w:pPr>
      <w:pBdr/>
      <w:spacing w:after="57"/>
      <w:ind w:left="1417"/>
    </w:pPr>
  </w:style>
  <w:style w:type="paragraph" w:styleId="939">
    <w:name w:val="toc 7"/>
    <w:basedOn w:val="768"/>
    <w:next w:val="768"/>
    <w:uiPriority w:val="39"/>
    <w:unhideWhenUsed/>
    <w:pPr>
      <w:pBdr/>
      <w:spacing w:after="57"/>
      <w:ind w:left="1701"/>
    </w:pPr>
  </w:style>
  <w:style w:type="paragraph" w:styleId="940">
    <w:name w:val="toc 8"/>
    <w:basedOn w:val="768"/>
    <w:next w:val="768"/>
    <w:uiPriority w:val="39"/>
    <w:unhideWhenUsed/>
    <w:pPr>
      <w:pBdr/>
      <w:spacing w:after="57"/>
      <w:ind w:left="1984"/>
    </w:pPr>
  </w:style>
  <w:style w:type="paragraph" w:styleId="941">
    <w:name w:val="toc 9"/>
    <w:basedOn w:val="768"/>
    <w:next w:val="768"/>
    <w:uiPriority w:val="39"/>
    <w:unhideWhenUsed/>
    <w:pPr>
      <w:pBdr/>
      <w:spacing w:after="57"/>
      <w:ind w:left="2268"/>
    </w:pPr>
  </w:style>
  <w:style w:type="paragraph" w:styleId="942">
    <w:name w:val="TOC Heading"/>
    <w:uiPriority w:val="39"/>
    <w:unhideWhenUsed/>
    <w:pPr>
      <w:pBdr/>
      <w:spacing/>
      <w:ind/>
    </w:pPr>
  </w:style>
  <w:style w:type="paragraph" w:styleId="943">
    <w:name w:val="table of figures"/>
    <w:basedOn w:val="768"/>
    <w:next w:val="768"/>
    <w:uiPriority w:val="99"/>
    <w:unhideWhenUsed/>
    <w:pPr>
      <w:pBdr/>
      <w:spacing w:after="0"/>
      <w:ind/>
    </w:pPr>
  </w:style>
  <w:style w:type="paragraph" w:styleId="944">
    <w:name w:val="No Spacing"/>
    <w:uiPriority w:val="1"/>
    <w:qFormat/>
    <w:pPr>
      <w:pBdr/>
      <w:spacing w:after="0" w:line="240" w:lineRule="auto"/>
      <w:ind/>
    </w:pPr>
    <w:rPr>
      <w:rFonts w:eastAsia="Times New Roman" w:cs="Times New Roman"/>
    </w:rPr>
  </w:style>
  <w:style w:type="paragraph" w:styleId="945">
    <w:name w:val="footnote text"/>
    <w:basedOn w:val="768"/>
    <w:link w:val="946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 w:customStyle="1">
    <w:name w:val="Text pozn. pod čarou Char"/>
    <w:basedOn w:val="778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778"/>
    <w:semiHidden/>
    <w:pPr>
      <w:pBdr/>
      <w:spacing/>
      <w:ind/>
    </w:pPr>
    <w:rPr>
      <w:vertAlign w:val="superscript"/>
    </w:rPr>
  </w:style>
  <w:style w:type="character" w:styleId="948" w:customStyle="1">
    <w:name w:val="Znaky pro poznámku pod čarou"/>
    <w:basedOn w:val="778"/>
    <w:pPr>
      <w:pBdr/>
      <w:spacing/>
      <w:ind/>
    </w:pPr>
    <w:rPr>
      <w:vertAlign w:val="superscript"/>
    </w:rPr>
  </w:style>
  <w:style w:type="paragraph" w:styleId="949">
    <w:name w:val="Footer"/>
    <w:basedOn w:val="768"/>
    <w:link w:val="95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50" w:customStyle="1">
    <w:name w:val="Zápatí Char"/>
    <w:basedOn w:val="778"/>
    <w:link w:val="949"/>
    <w:uiPriority w:val="99"/>
    <w:pPr>
      <w:pBdr/>
      <w:spacing/>
      <w:ind/>
    </w:pPr>
  </w:style>
  <w:style w:type="paragraph" w:styleId="951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952">
    <w:name w:val="Balloon Text"/>
    <w:basedOn w:val="768"/>
    <w:link w:val="95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3" w:customStyle="1">
    <w:name w:val="Text bubliny Char"/>
    <w:basedOn w:val="778"/>
    <w:link w:val="95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54">
    <w:name w:val="Header"/>
    <w:basedOn w:val="768"/>
    <w:link w:val="955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55" w:customStyle="1">
    <w:name w:val="Záhlaví Char"/>
    <w:basedOn w:val="778"/>
    <w:link w:val="954"/>
    <w:uiPriority w:val="99"/>
    <w:pPr>
      <w:pBdr/>
      <w:spacing/>
      <w:ind/>
    </w:pPr>
  </w:style>
  <w:style w:type="paragraph" w:styleId="956">
    <w:name w:val="Body Text Indent"/>
    <w:basedOn w:val="768"/>
    <w:link w:val="957"/>
    <w:pPr>
      <w:pBdr/>
      <w:spacing w:after="0" w:line="240" w:lineRule="auto"/>
      <w:ind w:firstLine="357" w:left="708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957" w:customStyle="1">
    <w:name w:val="Základní text odsazený Char"/>
    <w:basedOn w:val="778"/>
    <w:link w:val="956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EB0B-FD62-492F-B5F1-B7F48419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MVČR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revision>10</cp:revision>
  <dcterms:created xsi:type="dcterms:W3CDTF">2025-03-18T06:42:00Z</dcterms:created>
  <dcterms:modified xsi:type="dcterms:W3CDTF">2025-05-21T14:59:45Z</dcterms:modified>
</cp:coreProperties>
</file>