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312" w:lineRule="auto"/>
        <w:ind/>
        <w:jc w:val="center"/>
        <w:rPr>
          <w:rFonts w:ascii="Times New Roman" w:hAnsi="Times New Roman" w:eastAsia="Times New Roman" w:cs="Times New Roman"/>
          <w:b/>
          <w:caps/>
          <w:sz w:val="48"/>
          <w:szCs w:val="48"/>
          <w:lang w:eastAsia="cs-CZ"/>
        </w:rPr>
      </w:pPr>
      <w:r>
        <w:rPr>
          <w:rFonts w:ascii="Arial" w:hAnsi="Arial" w:eastAsia="Times New Roman" w:cs="Arial"/>
          <w:b/>
          <w:caps/>
          <w:sz w:val="48"/>
          <w:szCs w:val="48"/>
          <w:lang w:eastAsia="cs-CZ"/>
        </w:rPr>
        <w:t xml:space="preserve">OBEC Důl</w:t>
      </w:r>
      <w:r>
        <w:rPr>
          <w:rFonts w:ascii="Times New Roman" w:hAnsi="Times New Roman" w:eastAsia="Times New Roman" w:cs="Times New Roman"/>
          <w:b/>
          <w:caps/>
          <w:sz w:val="48"/>
          <w:szCs w:val="48"/>
          <w:lang w:eastAsia="cs-CZ"/>
        </w:rPr>
      </w:r>
      <w:r>
        <w:rPr>
          <w:rFonts w:ascii="Times New Roman" w:hAnsi="Times New Roman" w:eastAsia="Times New Roman" w:cs="Times New Roman"/>
          <w:b/>
          <w:caps/>
          <w:sz w:val="48"/>
          <w:szCs w:val="48"/>
          <w:lang w:eastAsia="cs-CZ"/>
        </w:rPr>
      </w:r>
    </w:p>
    <w:p>
      <w:pPr>
        <w:pBdr/>
        <w:spacing w:after="0" w:line="312" w:lineRule="auto"/>
        <w:ind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r>
    </w:p>
    <w:p>
      <w:pPr>
        <w:pBdr/>
        <w:spacing w:after="0" w:line="312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Zastupitelstvo obce Důl 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color w:val="000000"/>
          <w:sz w:val="24"/>
          <w:szCs w:val="20"/>
          <w:lang w:eastAsia="cs-CZ"/>
        </w:rPr>
      </w:pPr>
      <w:r>
        <w:rPr>
          <w:rFonts w:ascii="Arial" w:hAnsi="Arial" w:eastAsia="Times New Roman" w:cs="Arial"/>
          <w:b/>
          <w:color w:val="000000"/>
          <w:sz w:val="24"/>
          <w:szCs w:val="20"/>
          <w:lang w:eastAsia="cs-CZ"/>
        </w:rPr>
      </w:r>
      <w:r>
        <w:rPr>
          <w:rFonts w:ascii="Arial" w:hAnsi="Arial" w:eastAsia="Times New Roman" w:cs="Arial"/>
          <w:b/>
          <w:color w:val="000000"/>
          <w:sz w:val="24"/>
          <w:szCs w:val="20"/>
          <w:lang w:eastAsia="cs-CZ"/>
        </w:rPr>
      </w:r>
      <w:r>
        <w:rPr>
          <w:rFonts w:ascii="Arial" w:hAnsi="Arial" w:eastAsia="Times New Roman" w:cs="Arial"/>
          <w:b/>
          <w:color w:val="000000"/>
          <w:sz w:val="24"/>
          <w:szCs w:val="20"/>
          <w:lang w:eastAsia="cs-CZ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color w:val="000000"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color w:val="000000"/>
          <w:sz w:val="24"/>
          <w:szCs w:val="24"/>
          <w:lang w:eastAsia="cs-CZ"/>
        </w:rPr>
        <w:t xml:space="preserve">Obecně závazná vyhláška obce Důl </w:t>
      </w:r>
      <w:r>
        <w:rPr>
          <w:rFonts w:ascii="Arial" w:hAnsi="Arial" w:eastAsia="Times New Roman" w:cs="Arial"/>
          <w:b/>
          <w:color w:val="000000"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color w:val="000000"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color w:val="000000"/>
          <w:sz w:val="24"/>
          <w:szCs w:val="24"/>
          <w:lang w:eastAsia="cs-CZ"/>
        </w:rPr>
      </w:pPr>
      <w:r/>
      <w:bookmarkStart w:id="0" w:name="_Hlk192836167"/>
      <w:r>
        <w:rPr>
          <w:rFonts w:ascii="Arial" w:hAnsi="Arial" w:eastAsia="Times New Roman" w:cs="Arial"/>
          <w:b/>
          <w:color w:val="000000"/>
          <w:sz w:val="24"/>
          <w:szCs w:val="24"/>
          <w:lang w:eastAsia="cs-CZ"/>
        </w:rPr>
        <w:t xml:space="preserve">o stanovení obecního systému odpadového hospodářství</w:t>
      </w:r>
      <w:r>
        <w:rPr>
          <w:rFonts w:ascii="Arial" w:hAnsi="Arial" w:eastAsia="Times New Roman" w:cs="Arial"/>
          <w:b/>
          <w:color w:val="000000"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color w:val="000000"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both"/>
        <w:rPr>
          <w:rFonts w:ascii="Arial" w:hAnsi="Arial" w:eastAsia="Times New Roman" w:cs="Arial"/>
          <w:b/>
          <w:color w:val="000000"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color w:val="000000"/>
          <w:sz w:val="24"/>
          <w:szCs w:val="24"/>
          <w:lang w:eastAsia="cs-CZ"/>
        </w:rPr>
      </w:r>
      <w:bookmarkEnd w:id="0"/>
      <w:r>
        <w:rPr>
          <w:rFonts w:ascii="Arial" w:hAnsi="Arial" w:eastAsia="Times New Roman" w:cs="Arial"/>
          <w:b/>
          <w:color w:val="000000"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color w:val="000000"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both"/>
        <w:rPr>
          <w:rFonts w:ascii="Arial" w:hAnsi="Arial" w:eastAsia="Times New Roman" w:cs="Arial"/>
          <w:sz w:val="24"/>
          <w:szCs w:val="24"/>
          <w:lang w:eastAsia="cs-CZ"/>
        </w:rPr>
      </w:pP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both"/>
        <w:rPr>
          <w:rFonts w:ascii="Arial" w:hAnsi="Arial" w:eastAsia="Times New Roman" w:cs="Arial"/>
          <w:bCs/>
          <w:sz w:val="24"/>
          <w:lang w:eastAsia="cs-CZ"/>
        </w:rPr>
      </w:pPr>
      <w:r>
        <w:rPr>
          <w:rFonts w:ascii="Arial" w:hAnsi="Arial" w:eastAsia="Times New Roman" w:cs="Arial"/>
          <w:bCs/>
          <w:sz w:val="24"/>
          <w:lang w:eastAsia="cs-CZ"/>
        </w:rPr>
        <w:t xml:space="preserve">Zastupitelstvo obce Důl se na svém zasedání dne </w:t>
      </w:r>
      <w:r>
        <w:rPr>
          <w:rFonts w:ascii="Arial" w:hAnsi="Arial" w:eastAsia="Times New Roman" w:cs="Arial"/>
          <w:bCs/>
          <w:sz w:val="24"/>
          <w:lang w:eastAsia="cs-CZ"/>
        </w:rPr>
        <w:t xml:space="preserve">16.5.2025  usnesením</w:t>
      </w:r>
      <w:r>
        <w:rPr>
          <w:rFonts w:ascii="Arial" w:hAnsi="Arial" w:eastAsia="Times New Roman" w:cs="Arial"/>
          <w:bCs/>
          <w:sz w:val="24"/>
          <w:lang w:eastAsia="cs-CZ"/>
        </w:rPr>
        <w:t xml:space="preserve"> </w:t>
      </w:r>
      <w:r>
        <w:rPr>
          <w:rFonts w:ascii="Arial" w:hAnsi="Arial" w:eastAsia="Times New Roman" w:cs="Arial"/>
          <w:bCs/>
          <w:sz w:val="24"/>
          <w:highlight w:val="none"/>
          <w:lang w:eastAsia="cs-CZ"/>
        </w:rPr>
        <w:t xml:space="preserve">č.</w:t>
      </w:r>
      <w:r>
        <w:rPr>
          <w:rFonts w:ascii="Arial" w:hAnsi="Arial" w:eastAsia="Times New Roman" w:cs="Arial"/>
          <w:bCs/>
          <w:sz w:val="22"/>
          <w:szCs w:val="20"/>
          <w:lang w:eastAsia="cs-CZ"/>
        </w:rPr>
        <w:t xml:space="preserve"> z 2/2025/u2 </w:t>
      </w:r>
      <w:r>
        <w:rPr>
          <w:rFonts w:ascii="Arial" w:hAnsi="Arial" w:eastAsia="Times New Roman" w:cs="Arial"/>
          <w:bCs/>
          <w:sz w:val="24"/>
          <w:lang w:eastAsia="cs-CZ"/>
        </w:rPr>
        <w:t xml:space="preserve">usneslo vydat na základě § 59 odst. 4 zákona č. </w:t>
      </w:r>
      <w:r>
        <w:rPr>
          <w:rFonts w:ascii="Arial" w:hAnsi="Arial" w:eastAsia="Times New Roman" w:cs="Arial"/>
          <w:bCs/>
          <w:sz w:val="24"/>
          <w:lang w:eastAsia="cs-CZ"/>
        </w:rPr>
        <w:t xml:space="preserve">541/2020 Sb., o odpadech (dále jen „zákon o odpadech“), a v souladu s § 10 písm. d) a § 84 odst. 2 písm. h) zákona č.128/2000 Sb., o obcích (obecní zřízení), ve znění pozdějších předpisů, tuto obecně závaznou vyhlášku (dále jen „vyhláška“):</w:t>
      </w:r>
      <w:r>
        <w:rPr>
          <w:rFonts w:ascii="Arial" w:hAnsi="Arial" w:eastAsia="Times New Roman" w:cs="Arial"/>
          <w:bCs/>
          <w:sz w:val="24"/>
          <w:lang w:eastAsia="cs-CZ"/>
        </w:rPr>
      </w:r>
      <w:r>
        <w:rPr>
          <w:rFonts w:ascii="Arial" w:hAnsi="Arial" w:eastAsia="Times New Roman" w:cs="Arial"/>
          <w:bCs/>
          <w:sz w:val="24"/>
          <w:lang w:eastAsia="cs-CZ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b/>
          <w:sz w:val="24"/>
          <w:lang w:eastAsia="cs-CZ"/>
        </w:rPr>
      </w:pPr>
      <w:r>
        <w:rPr>
          <w:rFonts w:ascii="Arial" w:hAnsi="Arial" w:eastAsia="Times New Roman" w:cs="Arial"/>
          <w:b/>
          <w:sz w:val="24"/>
          <w:lang w:eastAsia="cs-CZ"/>
        </w:rPr>
      </w:r>
      <w:r>
        <w:rPr>
          <w:rFonts w:ascii="Arial" w:hAnsi="Arial" w:eastAsia="Times New Roman" w:cs="Arial"/>
          <w:b/>
          <w:sz w:val="24"/>
          <w:lang w:eastAsia="cs-CZ"/>
        </w:rPr>
      </w:r>
      <w:r>
        <w:rPr>
          <w:rFonts w:ascii="Arial" w:hAnsi="Arial" w:eastAsia="Times New Roman" w:cs="Arial"/>
          <w:b/>
          <w:sz w:val="24"/>
          <w:lang w:eastAsia="cs-CZ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Čl. 1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keepNext w:val="true"/>
        <w:pBdr/>
        <w:spacing w:after="120" w:line="240" w:lineRule="auto"/>
        <w:ind/>
        <w:jc w:val="center"/>
        <w:outlineLvl w:val="1"/>
        <w:rPr>
          <w:rFonts w:ascii="Arial" w:hAnsi="Arial" w:eastAsia="Times New Roman" w:cs="Arial"/>
          <w:b/>
          <w:bCs/>
          <w:sz w:val="24"/>
          <w:szCs w:val="20"/>
          <w:lang w:eastAsia="cs-CZ"/>
        </w:rPr>
      </w:pPr>
      <w:r>
        <w:rPr>
          <w:rFonts w:ascii="Arial" w:hAnsi="Arial" w:eastAsia="Times New Roman" w:cs="Arial"/>
          <w:b/>
          <w:bCs/>
          <w:sz w:val="24"/>
          <w:szCs w:val="20"/>
          <w:lang w:eastAsia="cs-CZ"/>
        </w:rPr>
        <w:t xml:space="preserve">Úvodní ustanovení</w:t>
      </w:r>
      <w:r>
        <w:rPr>
          <w:rFonts w:ascii="Arial" w:hAnsi="Arial" w:eastAsia="Times New Roman" w:cs="Arial"/>
          <w:b/>
          <w:bCs/>
          <w:sz w:val="24"/>
          <w:szCs w:val="20"/>
          <w:lang w:eastAsia="cs-CZ"/>
        </w:rPr>
      </w:r>
      <w:r>
        <w:rPr>
          <w:rFonts w:ascii="Arial" w:hAnsi="Arial" w:eastAsia="Times New Roman" w:cs="Arial"/>
          <w:b/>
          <w:bCs/>
          <w:sz w:val="24"/>
          <w:szCs w:val="20"/>
          <w:lang w:eastAsia="cs-CZ"/>
        </w:rPr>
      </w:r>
    </w:p>
    <w:p>
      <w:pPr>
        <w:numPr>
          <w:ilvl w:val="0"/>
          <w:numId w:val="12"/>
        </w:numPr>
        <w:pBdr/>
        <w:tabs>
          <w:tab w:val="left" w:leader="none" w:pos="-142"/>
        </w:tabs>
        <w:spacing w:line="240" w:lineRule="auto"/>
        <w:ind w:hanging="426"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Tato obecně závazná vyhláška stanovuje obecní systém odpadového hospodářství na území obce Důl.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numPr>
          <w:ilvl w:val="0"/>
          <w:numId w:val="12"/>
        </w:numPr>
        <w:pBdr/>
        <w:tabs>
          <w:tab w:val="left" w:leader="none" w:pos="-142"/>
        </w:tabs>
        <w:spacing w:line="240" w:lineRule="auto"/>
        <w:ind w:hanging="426"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947"/>
          <w:rFonts w:ascii="Arial" w:hAnsi="Arial" w:cs="Arial"/>
          <w:sz w:val="24"/>
          <w:szCs w:val="24"/>
        </w:rPr>
        <w:footnoteReference w:id="2"/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numPr>
          <w:ilvl w:val="0"/>
          <w:numId w:val="12"/>
        </w:numPr>
        <w:pBdr/>
        <w:tabs>
          <w:tab w:val="left" w:leader="none" w:pos="-142"/>
        </w:tabs>
        <w:spacing w:line="240" w:lineRule="auto"/>
        <w:ind w:hanging="426"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rStyle w:val="947"/>
          <w:rFonts w:ascii="Arial" w:hAnsi="Arial" w:cs="Arial"/>
          <w:sz w:val="24"/>
          <w:szCs w:val="24"/>
        </w:rPr>
        <w:footnoteReference w:id="3"/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numPr>
          <w:ilvl w:val="0"/>
          <w:numId w:val="12"/>
        </w:numPr>
        <w:pBdr/>
        <w:tabs>
          <w:tab w:val="left" w:leader="none" w:pos="-142"/>
        </w:tabs>
        <w:spacing w:after="0" w:line="240" w:lineRule="auto"/>
        <w:ind w:hanging="426"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Arial" w:hAnsi="Arial" w:eastAsia="Times New Roman" w:cs="Arial"/>
          <w:sz w:val="24"/>
          <w:lang w:eastAsia="cs-CZ"/>
        </w:rPr>
      </w:pPr>
      <w:r>
        <w:rPr>
          <w:rFonts w:ascii="Arial" w:hAnsi="Arial" w:eastAsia="Times New Roman" w:cs="Arial"/>
          <w:sz w:val="24"/>
          <w:lang w:eastAsia="cs-CZ"/>
        </w:rPr>
      </w:r>
      <w:r>
        <w:rPr>
          <w:rFonts w:ascii="Arial" w:hAnsi="Arial" w:eastAsia="Times New Roman" w:cs="Arial"/>
          <w:sz w:val="24"/>
          <w:lang w:eastAsia="cs-CZ"/>
        </w:rPr>
      </w:r>
      <w:r>
        <w:rPr>
          <w:rFonts w:ascii="Arial" w:hAnsi="Arial" w:eastAsia="Times New Roman" w:cs="Arial"/>
          <w:sz w:val="24"/>
          <w:lang w:eastAsia="cs-CZ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sz w:val="24"/>
          <w:szCs w:val="24"/>
          <w:lang w:eastAsia="cs-CZ"/>
        </w:rPr>
      </w:pP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Čl. 2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pBdr/>
        <w:spacing w:after="12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Oddělené 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soustřeďování komunálního odpadu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numPr>
          <w:ilvl w:val="0"/>
          <w:numId w:val="13"/>
        </w:numPr>
        <w:pBdr/>
        <w:spacing w:after="120" w:line="240" w:lineRule="auto"/>
        <w:ind/>
        <w:rPr>
          <w:rFonts w:ascii="Arial" w:hAnsi="Arial" w:eastAsia="Times New Roman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</w:rPr>
        <w:t xml:space="preserve">Osoby předávající komunální odpad na místa určená obcí jsou povinny odděleně soustřeďovat následující složky:</w:t>
      </w: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numPr>
          <w:ilvl w:val="0"/>
          <w:numId w:val="6"/>
        </w:numPr>
        <w:pBdr/>
        <w:spacing w:after="0" w:line="240" w:lineRule="auto"/>
        <w:ind w:hanging="426" w:left="993"/>
        <w:rPr>
          <w:rFonts w:ascii="Arial" w:hAnsi="Arial" w:eastAsia="Times New Roman" w:cs="Arial"/>
          <w:iCs/>
          <w:sz w:val="24"/>
          <w:szCs w:val="24"/>
          <w:lang w:eastAsia="cs-CZ"/>
        </w:rPr>
      </w:pPr>
      <w:r>
        <w:rPr>
          <w:rFonts w:ascii="Arial" w:hAnsi="Arial" w:eastAsia="Times New Roman" w:cs="Arial"/>
          <w:iCs/>
          <w:sz w:val="24"/>
          <w:szCs w:val="24"/>
          <w:lang w:eastAsia="cs-CZ"/>
        </w:rPr>
        <w:t xml:space="preserve">Biologické odpady</w:t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</w:p>
    <w:p>
      <w:pPr>
        <w:numPr>
          <w:ilvl w:val="0"/>
          <w:numId w:val="6"/>
        </w:numPr>
        <w:pBdr/>
        <w:spacing w:after="0" w:line="240" w:lineRule="auto"/>
        <w:ind w:hanging="426" w:left="993"/>
        <w:rPr>
          <w:rFonts w:ascii="Arial" w:hAnsi="Arial" w:eastAsia="Times New Roman" w:cs="Arial"/>
          <w:iCs/>
          <w:sz w:val="24"/>
          <w:szCs w:val="24"/>
          <w:lang w:eastAsia="cs-CZ"/>
        </w:rPr>
      </w:pPr>
      <w:r>
        <w:rPr>
          <w:rFonts w:ascii="Arial" w:hAnsi="Arial" w:eastAsia="Times New Roman" w:cs="Arial"/>
          <w:iCs/>
          <w:sz w:val="24"/>
          <w:szCs w:val="24"/>
          <w:lang w:eastAsia="cs-CZ"/>
        </w:rPr>
        <w:t xml:space="preserve">papír,</w:t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</w:p>
    <w:p>
      <w:pPr>
        <w:numPr>
          <w:ilvl w:val="0"/>
          <w:numId w:val="6"/>
        </w:numPr>
        <w:pBdr/>
        <w:spacing w:after="0" w:line="240" w:lineRule="auto"/>
        <w:ind w:hanging="426" w:left="993"/>
        <w:rPr>
          <w:rFonts w:ascii="Arial" w:hAnsi="Arial" w:eastAsia="Times New Roman" w:cs="Arial"/>
          <w:iCs/>
          <w:sz w:val="24"/>
          <w:szCs w:val="24"/>
          <w:lang w:eastAsia="cs-CZ"/>
        </w:rPr>
      </w:pPr>
      <w:r>
        <w:rPr>
          <w:rFonts w:ascii="Arial" w:hAnsi="Arial" w:eastAsia="Times New Roman" w:cs="Arial"/>
          <w:iCs/>
          <w:sz w:val="24"/>
          <w:szCs w:val="24"/>
          <w:lang w:eastAsia="cs-CZ"/>
        </w:rPr>
        <w:t xml:space="preserve">plast (včetně PET lahví a nápojových kartonů),</w:t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</w:p>
    <w:p>
      <w:pPr>
        <w:numPr>
          <w:ilvl w:val="0"/>
          <w:numId w:val="6"/>
        </w:numPr>
        <w:pBdr/>
        <w:spacing w:after="0" w:line="240" w:lineRule="auto"/>
        <w:ind w:hanging="426" w:left="993"/>
        <w:rPr>
          <w:rFonts w:ascii="Arial" w:hAnsi="Arial" w:eastAsia="Times New Roman" w:cs="Arial"/>
          <w:iCs/>
          <w:sz w:val="24"/>
          <w:szCs w:val="24"/>
          <w:lang w:eastAsia="cs-CZ"/>
        </w:rPr>
      </w:pPr>
      <w:r>
        <w:rPr>
          <w:rFonts w:ascii="Arial" w:hAnsi="Arial" w:eastAsia="Times New Roman" w:cs="Arial"/>
          <w:iCs/>
          <w:sz w:val="24"/>
          <w:szCs w:val="24"/>
          <w:lang w:eastAsia="cs-CZ"/>
        </w:rPr>
        <w:t xml:space="preserve">sklo</w:t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  <w:t xml:space="preserve">,</w:t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</w:p>
    <w:p>
      <w:pPr>
        <w:numPr>
          <w:ilvl w:val="0"/>
          <w:numId w:val="6"/>
        </w:numPr>
        <w:pBdr/>
        <w:spacing w:after="0" w:line="240" w:lineRule="auto"/>
        <w:ind w:hanging="426" w:left="993"/>
        <w:rPr>
          <w:rFonts w:ascii="Arial" w:hAnsi="Arial" w:eastAsia="Times New Roman" w:cs="Arial"/>
          <w:iCs/>
          <w:sz w:val="24"/>
          <w:szCs w:val="24"/>
          <w:lang w:eastAsia="cs-CZ"/>
        </w:rPr>
      </w:pPr>
      <w:r>
        <w:rPr>
          <w:rFonts w:ascii="Arial" w:hAnsi="Arial" w:eastAsia="Times New Roman" w:cs="Arial"/>
          <w:iCs/>
          <w:sz w:val="24"/>
          <w:szCs w:val="24"/>
          <w:lang w:eastAsia="cs-CZ"/>
        </w:rPr>
        <w:t xml:space="preserve">kovy,</w:t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</w:p>
    <w:p>
      <w:pPr>
        <w:pStyle w:val="951"/>
        <w:numPr>
          <w:ilvl w:val="0"/>
          <w:numId w:val="6"/>
        </w:numPr>
        <w:pBdr/>
        <w:spacing w:after="0" w:line="259" w:lineRule="auto"/>
        <w:ind w:hanging="357" w:left="9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textil,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51"/>
        <w:numPr>
          <w:ilvl w:val="0"/>
          <w:numId w:val="6"/>
        </w:numPr>
        <w:pBdr/>
        <w:spacing w:after="0" w:line="259" w:lineRule="auto"/>
        <w:ind w:hanging="357" w:left="924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jedlé oleje a tuky</w:t>
      </w:r>
      <w:r>
        <w:rPr>
          <w:rFonts w:ascii="Arial" w:hAnsi="Arial" w:cs="Arial"/>
          <w:color w:val="000000" w:themeColor="text1"/>
          <w:sz w:val="24"/>
          <w:szCs w:val="24"/>
        </w:rPr>
      </w:r>
      <w:r>
        <w:rPr>
          <w:rFonts w:ascii="Arial" w:hAnsi="Arial" w:cs="Arial"/>
          <w:color w:val="000000" w:themeColor="text1"/>
          <w:sz w:val="24"/>
          <w:szCs w:val="24"/>
        </w:rPr>
      </w:r>
    </w:p>
    <w:p>
      <w:pPr>
        <w:numPr>
          <w:ilvl w:val="0"/>
          <w:numId w:val="6"/>
        </w:numPr>
        <w:pBdr/>
        <w:spacing w:after="0" w:line="240" w:lineRule="auto"/>
        <w:ind w:hanging="426" w:left="993"/>
        <w:rPr>
          <w:rFonts w:ascii="Arial" w:hAnsi="Arial" w:eastAsia="Times New Roman" w:cs="Arial"/>
          <w:iCs/>
          <w:sz w:val="24"/>
          <w:szCs w:val="24"/>
          <w:lang w:eastAsia="cs-CZ"/>
        </w:rPr>
      </w:pPr>
      <w:r>
        <w:rPr>
          <w:rFonts w:ascii="Arial" w:hAnsi="Arial" w:eastAsia="Times New Roman" w:cs="Arial"/>
          <w:iCs/>
          <w:sz w:val="24"/>
          <w:szCs w:val="24"/>
          <w:lang w:eastAsia="cs-CZ"/>
        </w:rPr>
        <w:t xml:space="preserve">objemný odpad,</w:t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</w:p>
    <w:p>
      <w:pPr>
        <w:numPr>
          <w:ilvl w:val="0"/>
          <w:numId w:val="6"/>
        </w:numPr>
        <w:pBdr/>
        <w:spacing w:after="0" w:line="240" w:lineRule="auto"/>
        <w:ind w:hanging="426" w:left="993"/>
        <w:rPr>
          <w:rFonts w:ascii="Arial" w:hAnsi="Arial" w:eastAsia="Times New Roman" w:cs="Arial"/>
          <w:iCs/>
          <w:sz w:val="24"/>
          <w:szCs w:val="24"/>
          <w:lang w:eastAsia="cs-CZ"/>
        </w:rPr>
      </w:pPr>
      <w:r>
        <w:rPr>
          <w:rFonts w:ascii="Arial" w:hAnsi="Arial" w:eastAsia="Times New Roman" w:cs="Arial"/>
          <w:iCs/>
          <w:sz w:val="24"/>
          <w:szCs w:val="24"/>
          <w:lang w:eastAsia="cs-CZ"/>
        </w:rPr>
        <w:t xml:space="preserve">nebezpečné složky komunálního odpadu,</w:t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</w:p>
    <w:p>
      <w:pPr>
        <w:numPr>
          <w:ilvl w:val="0"/>
          <w:numId w:val="6"/>
        </w:numPr>
        <w:pBdr/>
        <w:spacing w:after="120" w:line="240" w:lineRule="auto"/>
        <w:ind w:hanging="426" w:left="993"/>
        <w:rPr>
          <w:rFonts w:ascii="Arial" w:hAnsi="Arial" w:eastAsia="Times New Roman" w:cs="Arial"/>
          <w:iCs/>
          <w:sz w:val="24"/>
          <w:szCs w:val="24"/>
          <w:lang w:eastAsia="cs-CZ"/>
        </w:rPr>
      </w:pPr>
      <w:r>
        <w:rPr>
          <w:rFonts w:ascii="Arial" w:hAnsi="Arial" w:eastAsia="Times New Roman" w:cs="Arial"/>
          <w:iCs/>
          <w:sz w:val="24"/>
          <w:szCs w:val="24"/>
          <w:lang w:eastAsia="cs-CZ"/>
        </w:rPr>
        <w:t xml:space="preserve">směsný odpad.</w:t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</w:p>
    <w:p>
      <w:pPr>
        <w:pStyle w:val="951"/>
        <w:numPr>
          <w:ilvl w:val="0"/>
          <w:numId w:val="13"/>
        </w:numPr>
        <w:pBdr/>
        <w:spacing w:line="240" w:lineRule="auto"/>
        <w:ind/>
        <w:jc w:val="both"/>
        <w:rPr>
          <w:rFonts w:ascii="Arial" w:hAnsi="Arial" w:eastAsia="Times New Roman" w:cs="Arial"/>
          <w:sz w:val="24"/>
          <w:szCs w:val="24"/>
          <w:lang w:eastAsia="cs-CZ"/>
        </w:rPr>
      </w:pPr>
      <w:r/>
      <w:bookmarkStart w:id="1" w:name="_Hlk184667068"/>
      <w:r>
        <w:rPr>
          <w:rFonts w:ascii="Arial" w:hAnsi="Arial" w:eastAsia="Times New Roman" w:cs="Arial"/>
          <w:sz w:val="24"/>
          <w:szCs w:val="24"/>
          <w:lang w:eastAsia="cs-CZ"/>
        </w:rPr>
        <w:t xml:space="preserve">Směsný odpad je zbylý komunální odpad po stanoveném vytřídění dle </w:t>
      </w:r>
      <w:r>
        <w:rPr>
          <w:rFonts w:ascii="Arial" w:hAnsi="Arial" w:eastAsia="Times New Roman" w:cs="Arial"/>
          <w:sz w:val="24"/>
          <w:szCs w:val="24"/>
          <w:lang w:eastAsia="cs-CZ"/>
        </w:rPr>
        <w:br/>
        <w:t xml:space="preserve">odst. 1 písm. </w:t>
      </w:r>
      <w:r>
        <w:rPr>
          <w:rFonts w:ascii="Arial" w:hAnsi="Arial" w:cs="Arial"/>
        </w:rPr>
        <w:t xml:space="preserve">a), b), c), d), e), f), g), h)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) .</w:t>
      </w:r>
      <w:bookmarkEnd w:id="1"/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</w:p>
    <w:p>
      <w:pPr>
        <w:pStyle w:val="956"/>
        <w:numPr>
          <w:ilvl w:val="0"/>
          <w:numId w:val="13"/>
        </w:numPr>
        <w:pBdr/>
        <w:spacing/>
        <w:ind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Objemný odpad je takový odpad, který vzhledem ke svým </w:t>
      </w:r>
      <w:r>
        <w:rPr>
          <w:rFonts w:ascii="Arial" w:hAnsi="Arial" w:cs="Arial"/>
          <w:szCs w:val="24"/>
        </w:rPr>
        <w:t xml:space="preserve">rozměrům nemůže být umístěn do sběrných nádob (</w:t>
      </w:r>
      <w:r>
        <w:rPr>
          <w:rFonts w:ascii="Arial" w:hAnsi="Arial" w:cs="Arial"/>
          <w:i/>
          <w:iCs/>
          <w:szCs w:val="24"/>
        </w:rPr>
        <w:t xml:space="preserve">např. koberce, matrace, </w:t>
      </w:r>
      <w:r>
        <w:rPr>
          <w:rFonts w:ascii="Arial" w:hAnsi="Arial" w:cs="Arial"/>
          <w:i/>
          <w:iCs/>
          <w:szCs w:val="24"/>
        </w:rPr>
        <w:t xml:space="preserve">nábytek,…</w:t>
      </w:r>
      <w:r>
        <w:rPr>
          <w:rFonts w:ascii="Arial" w:hAnsi="Arial" w:cs="Arial"/>
          <w:szCs w:val="24"/>
        </w:rPr>
        <w:t xml:space="preserve"> ).</w:t>
      </w:r>
      <w:r>
        <w:rPr>
          <w:rFonts w:ascii="Arial" w:hAnsi="Arial" w:cs="Arial"/>
          <w:szCs w:val="24"/>
        </w:rPr>
      </w:r>
      <w:r>
        <w:rPr>
          <w:rFonts w:ascii="Arial" w:hAnsi="Arial" w:cs="Arial"/>
          <w:szCs w:val="24"/>
        </w:rPr>
      </w:r>
    </w:p>
    <w:p>
      <w:pPr>
        <w:pStyle w:val="951"/>
        <w:pBdr/>
        <w:spacing w:after="0" w:line="240" w:lineRule="auto"/>
        <w:ind w:left="360"/>
        <w:jc w:val="both"/>
        <w:rPr>
          <w:rFonts w:ascii="Arial" w:hAnsi="Arial" w:eastAsia="Times New Roman" w:cs="Arial"/>
          <w:sz w:val="24"/>
          <w:szCs w:val="24"/>
          <w:lang w:eastAsia="cs-CZ"/>
        </w:rPr>
      </w:pP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both"/>
        <w:rPr>
          <w:rFonts w:ascii="Arial" w:hAnsi="Arial" w:eastAsia="Times New Roman" w:cs="Arial"/>
          <w:sz w:val="24"/>
          <w:szCs w:val="20"/>
          <w:lang w:eastAsia="cs-CZ"/>
        </w:rPr>
      </w:pPr>
      <w:r>
        <w:rPr>
          <w:rFonts w:ascii="Arial" w:hAnsi="Arial" w:eastAsia="Times New Roman" w:cs="Arial"/>
          <w:sz w:val="24"/>
          <w:szCs w:val="20"/>
          <w:lang w:eastAsia="cs-CZ"/>
        </w:rPr>
      </w:r>
      <w:r>
        <w:rPr>
          <w:rFonts w:ascii="Arial" w:hAnsi="Arial" w:eastAsia="Times New Roman" w:cs="Arial"/>
          <w:sz w:val="24"/>
          <w:szCs w:val="20"/>
          <w:lang w:eastAsia="cs-CZ"/>
        </w:rPr>
      </w:r>
      <w:r>
        <w:rPr>
          <w:rFonts w:ascii="Arial" w:hAnsi="Arial" w:eastAsia="Times New Roman" w:cs="Arial"/>
          <w:sz w:val="24"/>
          <w:szCs w:val="20"/>
          <w:lang w:eastAsia="cs-CZ"/>
        </w:rPr>
      </w:r>
    </w:p>
    <w:p>
      <w:pPr>
        <w:keepNext w:val="true"/>
        <w:pBdr/>
        <w:spacing w:after="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Čl. 3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pBdr/>
        <w:spacing/>
        <w:ind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Určení míst pro oddělené soustřeďování určených složek komunálního odpadu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numPr>
          <w:ilvl w:val="0"/>
          <w:numId w:val="8"/>
        </w:numPr>
        <w:pBdr/>
        <w:spacing w:after="120" w:line="240" w:lineRule="auto"/>
        <w:ind w:hanging="425" w:left="425"/>
        <w:jc w:val="both"/>
        <w:rPr>
          <w:rFonts w:ascii="Arial" w:hAnsi="Arial" w:eastAsia="Calibri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Papír, plasty, sklo, kovy, biologické odpady, textil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jedlé oleje a tuky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se soustřeďují do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zvláštních sběrných nádob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kterými jsou sběrné nádoby o objemu 110 l, 120 l, 240 l, 600 l, 1100 l, velkoobjemové kontejnery.</w:t>
      </w:r>
      <w:r>
        <w:rPr>
          <w:rFonts w:ascii="Arial" w:hAnsi="Arial" w:eastAsia="Calibri" w:cs="Arial"/>
          <w:color w:val="000000" w:themeColor="text1"/>
          <w:sz w:val="24"/>
          <w:szCs w:val="24"/>
        </w:rPr>
      </w:r>
      <w:r>
        <w:rPr>
          <w:rFonts w:ascii="Arial" w:hAnsi="Arial" w:eastAsia="Calibri" w:cs="Arial"/>
          <w:color w:val="000000" w:themeColor="text1"/>
          <w:sz w:val="24"/>
          <w:szCs w:val="24"/>
        </w:rPr>
      </w:r>
    </w:p>
    <w:p>
      <w:pPr>
        <w:pStyle w:val="951"/>
        <w:numPr>
          <w:ilvl w:val="0"/>
          <w:numId w:val="8"/>
        </w:numPr>
        <w:pBdr/>
        <w:spacing w:after="60" w:line="240" w:lineRule="auto"/>
        <w:ind w:hanging="426" w:left="426"/>
        <w:jc w:val="both"/>
        <w:rPr>
          <w:rFonts w:ascii="Arial" w:hAnsi="Arial" w:eastAsia="Calibri" w:cs="Arial"/>
          <w:color w:val="000000"/>
          <w:sz w:val="24"/>
          <w:szCs w:val="24"/>
        </w:rPr>
      </w:pPr>
      <w:r>
        <w:rPr>
          <w:rFonts w:ascii="Arial" w:hAnsi="Arial" w:eastAsia="Calibri" w:cs="Arial"/>
          <w:color w:val="000000"/>
          <w:sz w:val="24"/>
          <w:szCs w:val="24"/>
        </w:rPr>
        <w:t xml:space="preserve">Zvláštní sběrné nádoby jsou barevně odlišeny a označeny příslušnými nápisy:</w:t>
      </w:r>
      <w:r>
        <w:rPr>
          <w:rFonts w:ascii="Arial" w:hAnsi="Arial" w:eastAsia="Calibri" w:cs="Arial"/>
          <w:color w:val="000000"/>
          <w:sz w:val="24"/>
          <w:szCs w:val="24"/>
        </w:rPr>
      </w:r>
      <w:r>
        <w:rPr>
          <w:rFonts w:ascii="Arial" w:hAnsi="Arial" w:eastAsia="Calibri" w:cs="Arial"/>
          <w:color w:val="000000"/>
          <w:sz w:val="24"/>
          <w:szCs w:val="24"/>
        </w:rPr>
      </w:r>
    </w:p>
    <w:p>
      <w:pPr>
        <w:numPr>
          <w:ilvl w:val="0"/>
          <w:numId w:val="7"/>
        </w:numPr>
        <w:pBdr/>
        <w:spacing w:after="0" w:line="240" w:lineRule="auto"/>
        <w:ind w:hanging="284" w:left="993"/>
        <w:jc w:val="both"/>
        <w:rPr>
          <w:rFonts w:ascii="Arial" w:hAnsi="Arial" w:eastAsia="Times New Roman" w:cs="Arial"/>
          <w:iCs/>
          <w:color w:val="000000" w:themeColor="text1"/>
          <w:sz w:val="24"/>
          <w:szCs w:val="24"/>
        </w:rPr>
      </w:pPr>
      <w:r>
        <w:rPr>
          <w:rFonts w:ascii="Arial" w:hAnsi="Arial" w:eastAsia="Times New Roman" w:cs="Arial"/>
          <w:iCs/>
          <w:color w:val="000000" w:themeColor="text1"/>
          <w:sz w:val="24"/>
          <w:szCs w:val="24"/>
          <w:lang w:eastAsia="cs-CZ"/>
        </w:rPr>
        <w:t xml:space="preserve">papír - kontejner</w:t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  <w:lang w:eastAsia="cs-CZ"/>
        </w:rPr>
        <w:t xml:space="preserve"> modré barvy,</w:t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  <w:lang w:eastAsia="cs-CZ"/>
        </w:rPr>
        <w:t xml:space="preserve"> </w:t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  <w:lang w:eastAsia="cs-CZ"/>
        </w:rPr>
        <w:t xml:space="preserve">umístěný za obecním úřadem</w:t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</w:rPr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</w:rPr>
      </w:r>
    </w:p>
    <w:p>
      <w:pPr>
        <w:numPr>
          <w:ilvl w:val="0"/>
          <w:numId w:val="7"/>
        </w:numPr>
        <w:pBdr/>
        <w:tabs>
          <w:tab w:val="left" w:leader="none" w:pos="540"/>
        </w:tabs>
        <w:spacing w:after="0" w:line="240" w:lineRule="auto"/>
        <w:ind w:hanging="284" w:left="993"/>
        <w:jc w:val="both"/>
        <w:rPr>
          <w:rFonts w:ascii="Arial" w:hAnsi="Arial" w:eastAsia="Times New Roman" w:cs="Arial"/>
          <w:iCs/>
          <w:color w:val="000000" w:themeColor="text1"/>
          <w:sz w:val="24"/>
          <w:szCs w:val="24"/>
        </w:rPr>
      </w:pPr>
      <w:r>
        <w:rPr>
          <w:rFonts w:ascii="Arial" w:hAnsi="Arial" w:eastAsia="Times New Roman" w:cs="Arial"/>
          <w:iCs/>
          <w:color w:val="000000" w:themeColor="text1"/>
          <w:sz w:val="24"/>
          <w:szCs w:val="24"/>
          <w:lang w:eastAsia="cs-CZ"/>
        </w:rPr>
        <w:t xml:space="preserve">plasty a PET </w:t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  <w:lang w:eastAsia="cs-CZ"/>
        </w:rPr>
        <w:t xml:space="preserve">lahve - kontejner</w:t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  <w:lang w:eastAsia="cs-CZ"/>
        </w:rPr>
        <w:t xml:space="preserve"> žluté barvy,</w:t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  <w:lang w:eastAsia="cs-CZ"/>
        </w:rPr>
        <w:t xml:space="preserve"> </w:t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  <w:lang w:eastAsia="cs-CZ"/>
        </w:rPr>
        <w:t xml:space="preserve">umístěný za obecním úřadem</w:t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</w:rPr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</w:rPr>
      </w:r>
    </w:p>
    <w:p>
      <w:pPr>
        <w:numPr>
          <w:ilvl w:val="0"/>
          <w:numId w:val="7"/>
        </w:numPr>
        <w:pBdr/>
        <w:tabs>
          <w:tab w:val="left" w:leader="none" w:pos="540"/>
        </w:tabs>
        <w:spacing w:after="0" w:line="240" w:lineRule="auto"/>
        <w:ind w:hanging="284" w:left="993"/>
        <w:jc w:val="both"/>
        <w:rPr>
          <w:rFonts w:ascii="Arial" w:hAnsi="Arial" w:eastAsia="Times New Roman" w:cs="Arial"/>
          <w:iCs/>
          <w:color w:val="000000" w:themeColor="text1"/>
          <w:sz w:val="24"/>
          <w:szCs w:val="24"/>
        </w:rPr>
      </w:pPr>
      <w:r>
        <w:rPr>
          <w:rFonts w:ascii="Arial" w:hAnsi="Arial" w:eastAsia="Times New Roman" w:cs="Arial"/>
          <w:iCs/>
          <w:color w:val="000000" w:themeColor="text1"/>
          <w:sz w:val="24"/>
          <w:szCs w:val="24"/>
          <w:lang w:eastAsia="cs-CZ"/>
        </w:rPr>
        <w:t xml:space="preserve"> sklo </w:t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  <w:lang w:eastAsia="cs-CZ"/>
        </w:rPr>
        <w:t xml:space="preserve">– kontejner zelené barvy- </w:t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  <w:lang w:eastAsia="cs-CZ"/>
        </w:rPr>
        <w:t xml:space="preserve">umístěný za obecním úřadem</w:t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</w:rPr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</w:rPr>
      </w:r>
    </w:p>
    <w:p>
      <w:pPr>
        <w:pStyle w:val="951"/>
        <w:numPr>
          <w:ilvl w:val="0"/>
          <w:numId w:val="7"/>
        </w:numPr>
        <w:pBdr/>
        <w:spacing w:after="120" w:line="240" w:lineRule="auto"/>
        <w:ind/>
        <w:jc w:val="both"/>
        <w:rPr>
          <w:rFonts w:ascii="Arial" w:hAnsi="Arial" w:eastAsia="Times New Roman" w:cs="Arial"/>
          <w:iCs/>
          <w:color w:val="000000" w:themeColor="text1"/>
          <w:sz w:val="24"/>
          <w:szCs w:val="24"/>
          <w:highlight w:val="white"/>
        </w:rPr>
      </w:pPr>
      <w:r>
        <w:rPr>
          <w:rFonts w:ascii="Arial" w:hAnsi="Arial" w:eastAsia="Times New Roman" w:cs="Arial"/>
          <w:iCs/>
          <w:color w:val="000000" w:themeColor="text1"/>
          <w:sz w:val="24"/>
          <w:szCs w:val="24"/>
          <w:highlight w:val="white"/>
          <w:lang w:eastAsia="cs-CZ"/>
        </w:rPr>
        <w:t xml:space="preserve">textil – </w:t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  <w:highlight w:val="white"/>
          <w:lang w:eastAsia="cs-CZ"/>
        </w:rPr>
        <w:t xml:space="preserve">sběrná nádoba umístěná </w:t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  <w:highlight w:val="white"/>
        </w:rPr>
        <w:t xml:space="preserve">v</w:t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  <w:highlight w:val="none"/>
        </w:rPr>
        <w:t xml:space="preserve"> budově OÚ-</w:t>
      </w:r>
      <w:r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lze </w:t>
      </w:r>
      <w:r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předávat  vždy</w:t>
      </w:r>
      <w:r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první středu v měsíci od 17.00 do 19.00 hod. </w:t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  <w:highlight w:val="white"/>
        </w:rPr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  <w:highlight w:val="white"/>
        </w:rPr>
      </w:r>
    </w:p>
    <w:p>
      <w:pPr>
        <w:pStyle w:val="951"/>
        <w:numPr>
          <w:ilvl w:val="0"/>
          <w:numId w:val="7"/>
        </w:numPr>
        <w:pBdr/>
        <w:spacing w:after="120" w:line="240" w:lineRule="auto"/>
        <w:ind/>
        <w:jc w:val="both"/>
        <w:rPr>
          <w:rFonts w:ascii="Arial" w:hAnsi="Arial" w:eastAsia="Times New Roman" w:cs="Arial"/>
          <w:iCs/>
          <w:color w:val="000000" w:themeColor="text1"/>
          <w:sz w:val="24"/>
          <w:szCs w:val="24"/>
        </w:rPr>
      </w:pPr>
      <w:r>
        <w:rPr>
          <w:rFonts w:ascii="Arial" w:hAnsi="Arial" w:eastAsia="Times New Roman" w:cs="Arial"/>
          <w:iCs/>
          <w:color w:val="000000" w:themeColor="text1"/>
          <w:sz w:val="24"/>
          <w:szCs w:val="24"/>
          <w:lang w:eastAsia="cs-CZ"/>
        </w:rPr>
        <w:t xml:space="preserve">jedlé oleje a tuky</w:t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  <w:lang w:eastAsia="cs-CZ"/>
        </w:rPr>
        <w:t xml:space="preserve"> – sběrná nádoba umístěná </w:t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  <w:highlight w:val="white"/>
        </w:rPr>
        <w:t xml:space="preserve">v</w:t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  <w:highlight w:val="none"/>
        </w:rPr>
        <w:t xml:space="preserve"> budově OÚ - </w:t>
      </w:r>
      <w:r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lze </w:t>
      </w:r>
      <w:r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předávat  vždy</w:t>
      </w:r>
      <w:r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první středu v měsíci od 17.00 do 19.00 hod.</w:t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</w:rPr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</w:rPr>
      </w:r>
    </w:p>
    <w:p>
      <w:pPr>
        <w:pStyle w:val="951"/>
        <w:numPr>
          <w:ilvl w:val="0"/>
          <w:numId w:val="7"/>
        </w:numPr>
        <w:pBdr/>
        <w:spacing w:after="120" w:line="240" w:lineRule="auto"/>
        <w:ind/>
        <w:jc w:val="both"/>
        <w:rPr>
          <w:rFonts w:ascii="Arial" w:hAnsi="Arial" w:eastAsia="Times New Roman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highlight w:val="none"/>
        </w:rPr>
        <w:t xml:space="preserve">KOVY- sběrná nádoba </w:t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  <w:lang w:eastAsia="cs-CZ"/>
        </w:rPr>
        <w:t xml:space="preserve">umístěná </w:t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  <w:highlight w:val="white"/>
        </w:rPr>
        <w:t xml:space="preserve">v</w:t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  <w:highlight w:val="none"/>
        </w:rPr>
        <w:t xml:space="preserve"> budově OÚ - </w:t>
      </w:r>
      <w:r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lze </w:t>
      </w:r>
      <w:r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předávat  každou</w:t>
      </w:r>
      <w:r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středu  od 17.00 do 19.00 hod.</w:t>
      </w:r>
      <w:r>
        <w:rPr>
          <w:rFonts w:ascii="Arial" w:hAnsi="Arial" w:eastAsia="Times New Roman" w:cs="Arial"/>
          <w:color w:val="000000" w:themeColor="text1"/>
          <w:sz w:val="24"/>
          <w:szCs w:val="24"/>
        </w:rPr>
      </w:r>
      <w:r>
        <w:rPr>
          <w:rFonts w:ascii="Arial" w:hAnsi="Arial" w:eastAsia="Times New Roman" w:cs="Arial"/>
          <w:color w:val="000000" w:themeColor="text1"/>
          <w:sz w:val="24"/>
          <w:szCs w:val="24"/>
        </w:rPr>
      </w:r>
    </w:p>
    <w:p>
      <w:pPr>
        <w:pStyle w:val="951"/>
        <w:pBdr/>
        <w:spacing w:after="120" w:line="240" w:lineRule="auto"/>
        <w:ind w:left="928"/>
        <w:jc w:val="both"/>
        <w:rPr>
          <w:rFonts w:ascii="Arial" w:hAnsi="Arial" w:eastAsia="Times New Roman" w:cs="Arial"/>
          <w:iCs/>
          <w:color w:val="000000" w:themeColor="text1"/>
          <w:sz w:val="24"/>
          <w:szCs w:val="24"/>
        </w:rPr>
      </w:pPr>
      <w:r>
        <w:rPr>
          <w:rFonts w:ascii="Arial" w:hAnsi="Arial" w:eastAsia="Times New Roman" w:cs="Arial"/>
          <w:iCs/>
          <w:color w:val="000000" w:themeColor="text1"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</w:rPr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</w:rPr>
      </w:r>
    </w:p>
    <w:p>
      <w:pPr>
        <w:pStyle w:val="951"/>
        <w:numPr>
          <w:ilvl w:val="0"/>
          <w:numId w:val="8"/>
        </w:numPr>
        <w:pBdr/>
        <w:spacing w:after="120" w:line="259" w:lineRule="auto"/>
        <w:ind w:hanging="426"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eastAsia="Calibri" w:cs="Arial"/>
          <w:iCs/>
          <w:color w:val="000000" w:themeColor="text1"/>
          <w:sz w:val="24"/>
          <w:szCs w:val="24"/>
        </w:rPr>
        <w:t xml:space="preserve">Biologicky rozložitelný odpad rostlinného původu lze </w:t>
      </w:r>
      <w:r>
        <w:rPr>
          <w:rFonts w:ascii="Arial" w:hAnsi="Arial" w:eastAsia="Calibri" w:cs="Arial"/>
          <w:iCs/>
          <w:color w:val="000000" w:themeColor="text1"/>
          <w:sz w:val="24"/>
          <w:szCs w:val="24"/>
        </w:rPr>
        <w:t xml:space="preserve">předávat </w:t>
      </w:r>
      <w:r>
        <w:rPr>
          <w:rFonts w:ascii="Arial" w:hAnsi="Arial" w:eastAsia="Calibri" w:cs="Arial"/>
          <w:iCs/>
          <w:color w:val="000000" w:themeColor="text1"/>
          <w:sz w:val="24"/>
          <w:szCs w:val="24"/>
        </w:rPr>
        <w:t xml:space="preserve">na pozemku č. 574 v </w:t>
      </w:r>
      <w:r>
        <w:rPr>
          <w:rFonts w:ascii="Arial" w:hAnsi="Arial" w:eastAsia="Calibri" w:cs="Arial"/>
          <w:iCs/>
          <w:color w:val="000000" w:themeColor="text1"/>
          <w:sz w:val="24"/>
          <w:szCs w:val="24"/>
        </w:rPr>
        <w:t xml:space="preserve">k.ú</w:t>
      </w:r>
      <w:r>
        <w:rPr>
          <w:rFonts w:ascii="Arial" w:hAnsi="Arial" w:eastAsia="Calibri" w:cs="Arial"/>
          <w:iCs/>
          <w:color w:val="000000" w:themeColor="text1"/>
          <w:sz w:val="24"/>
          <w:szCs w:val="24"/>
        </w:rPr>
        <w:t xml:space="preserve">. Důl. </w:t>
      </w:r>
      <w:r>
        <w:rPr>
          <w:rFonts w:ascii="Arial" w:hAnsi="Arial" w:cs="Arial"/>
          <w:color w:val="000000" w:themeColor="text1"/>
          <w:sz w:val="24"/>
          <w:szCs w:val="24"/>
        </w:rPr>
      </w:r>
      <w:r>
        <w:rPr>
          <w:rFonts w:ascii="Arial" w:hAnsi="Arial" w:cs="Arial"/>
          <w:color w:val="000000" w:themeColor="text1"/>
          <w:sz w:val="24"/>
          <w:szCs w:val="24"/>
        </w:rPr>
      </w:r>
    </w:p>
    <w:p>
      <w:pPr>
        <w:numPr>
          <w:ilvl w:val="0"/>
          <w:numId w:val="8"/>
        </w:numPr>
        <w:pBdr/>
        <w:spacing w:after="120" w:before="60" w:line="240" w:lineRule="auto"/>
        <w:ind w:hanging="426" w:left="426"/>
        <w:jc w:val="both"/>
        <w:rPr>
          <w:rFonts w:ascii="Arial" w:hAnsi="Arial" w:eastAsia="Calibri" w:cs="Arial"/>
          <w:iCs/>
          <w:sz w:val="24"/>
          <w:szCs w:val="24"/>
        </w:rPr>
      </w:pPr>
      <w:r>
        <w:rPr>
          <w:rFonts w:ascii="Arial" w:hAnsi="Arial" w:eastAsia="Calibri" w:cs="Arial"/>
          <w:color w:val="000000"/>
          <w:sz w:val="24"/>
          <w:szCs w:val="24"/>
        </w:rPr>
        <w:t xml:space="preserve">Do zvláštních sběrných nádob je zakázáno ukládat jiné složky </w:t>
      </w:r>
      <w:r>
        <w:rPr>
          <w:rFonts w:ascii="Arial" w:hAnsi="Arial" w:eastAsia="Calibri" w:cs="Arial"/>
          <w:color w:val="000000"/>
          <w:sz w:val="24"/>
          <w:szCs w:val="24"/>
        </w:rPr>
        <w:t xml:space="preserve">komunálních odpadů, než pro které jsou určeny.</w:t>
      </w:r>
      <w:r>
        <w:rPr>
          <w:rFonts w:ascii="Arial" w:hAnsi="Arial" w:eastAsia="Calibri" w:cs="Arial"/>
          <w:iCs/>
          <w:sz w:val="24"/>
          <w:szCs w:val="24"/>
        </w:rPr>
      </w:r>
      <w:r>
        <w:rPr>
          <w:rFonts w:ascii="Arial" w:hAnsi="Arial" w:eastAsia="Calibri" w:cs="Arial"/>
          <w:iCs/>
          <w:sz w:val="24"/>
          <w:szCs w:val="24"/>
        </w:rPr>
      </w:r>
    </w:p>
    <w:p>
      <w:pPr>
        <w:numPr>
          <w:ilvl w:val="0"/>
          <w:numId w:val="8"/>
        </w:numPr>
        <w:pBdr/>
        <w:spacing w:after="120" w:before="60" w:line="240" w:lineRule="auto"/>
        <w:ind w:hanging="426" w:left="426"/>
        <w:jc w:val="both"/>
        <w:rPr>
          <w:rFonts w:ascii="Arial" w:hAnsi="Arial" w:eastAsia="Calibri" w:cs="Arial"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Typizované sběrné nádoby je povinnost plnit tak, aby je bylo možno uzavřít a odpad z nich při manipulaci nevypadával. Pokud to umožňuje povaha odpadu, je nutno objem odpadu před jeho odložením do sběrné nádoby minimalizovat. </w:t>
      </w:r>
      <w:r>
        <w:rPr>
          <w:rFonts w:ascii="Arial" w:hAnsi="Arial" w:eastAsia="Calibri" w:cs="Arial"/>
          <w:iCs/>
          <w:sz w:val="24"/>
          <w:szCs w:val="24"/>
        </w:rPr>
      </w:r>
      <w:r>
        <w:rPr>
          <w:rFonts w:ascii="Arial" w:hAnsi="Arial" w:eastAsia="Calibri" w:cs="Arial"/>
          <w:iCs/>
          <w:sz w:val="24"/>
          <w:szCs w:val="24"/>
        </w:rPr>
      </w:r>
    </w:p>
    <w:p>
      <w:pPr>
        <w:pBdr/>
        <w:spacing w:after="120" w:before="60" w:line="240" w:lineRule="auto"/>
        <w:ind w:firstLine="0" w:left="0"/>
        <w:jc w:val="both"/>
        <w:rPr>
          <w:rFonts w:ascii="Arial" w:hAnsi="Arial" w:eastAsia="Calibri" w:cs="Arial"/>
          <w:color w:val="00b0f0"/>
          <w:sz w:val="24"/>
          <w:szCs w:val="24"/>
          <w:highlight w:val="yellow"/>
        </w:rPr>
      </w:pPr>
      <w:r>
        <w:rPr>
          <w:rFonts w:ascii="Arial" w:hAnsi="Arial" w:cs="Arial"/>
          <w:color w:val="00b0f0"/>
          <w:sz w:val="24"/>
          <w:szCs w:val="24"/>
          <w:highlight w:val="yellow"/>
        </w:rPr>
        <w:t xml:space="preserve"> </w:t>
      </w:r>
      <w:r>
        <w:rPr>
          <w:rFonts w:ascii="Arial" w:hAnsi="Arial" w:eastAsia="Calibri" w:cs="Arial"/>
          <w:color w:val="00b0f0"/>
          <w:sz w:val="24"/>
          <w:szCs w:val="24"/>
          <w:highlight w:val="yellow"/>
        </w:rPr>
      </w:r>
      <w:r>
        <w:rPr>
          <w:rFonts w:ascii="Arial" w:hAnsi="Arial" w:eastAsia="Calibri" w:cs="Arial"/>
          <w:color w:val="00b0f0"/>
          <w:sz w:val="24"/>
          <w:szCs w:val="24"/>
          <w:highlight w:val="yellow"/>
        </w:rPr>
      </w:r>
    </w:p>
    <w:p>
      <w:pPr>
        <w:pBdr/>
        <w:spacing w:after="0" w:line="240" w:lineRule="auto"/>
        <w:ind w:hanging="426" w:left="426"/>
        <w:rPr>
          <w:rFonts w:ascii="Arial" w:hAnsi="Arial" w:eastAsia="Times New Roman" w:cs="Arial"/>
          <w:iCs/>
          <w:sz w:val="24"/>
          <w:szCs w:val="24"/>
          <w:lang w:eastAsia="cs-CZ"/>
        </w:rPr>
      </w:pP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</w:p>
    <w:p>
      <w:pPr>
        <w:keepNext w:val="true"/>
        <w:pBdr/>
        <w:spacing w:after="0" w:line="240" w:lineRule="auto"/>
        <w:ind/>
        <w:jc w:val="center"/>
        <w:outlineLvl w:val="1"/>
        <w:rPr>
          <w:rFonts w:ascii="Arial" w:hAnsi="Arial" w:eastAsia="Times New Roman" w:cs="Arial"/>
          <w:b/>
          <w:bCs/>
          <w:sz w:val="24"/>
          <w:szCs w:val="20"/>
          <w:lang w:eastAsia="cs-CZ"/>
        </w:rPr>
      </w:pPr>
      <w:r>
        <w:rPr>
          <w:rFonts w:ascii="Arial" w:hAnsi="Arial" w:eastAsia="Times New Roman" w:cs="Arial"/>
          <w:b/>
          <w:bCs/>
          <w:sz w:val="24"/>
          <w:szCs w:val="20"/>
          <w:lang w:eastAsia="cs-CZ"/>
        </w:rPr>
        <w:t xml:space="preserve">Čl. 4</w:t>
      </w:r>
      <w:r>
        <w:rPr>
          <w:rFonts w:ascii="Arial" w:hAnsi="Arial" w:eastAsia="Times New Roman" w:cs="Arial"/>
          <w:b/>
          <w:bCs/>
          <w:sz w:val="24"/>
          <w:szCs w:val="20"/>
          <w:lang w:eastAsia="cs-CZ"/>
        </w:rPr>
      </w:r>
      <w:r>
        <w:rPr>
          <w:rFonts w:ascii="Arial" w:hAnsi="Arial" w:eastAsia="Times New Roman" w:cs="Arial"/>
          <w:b/>
          <w:bCs/>
          <w:sz w:val="24"/>
          <w:szCs w:val="20"/>
          <w:lang w:eastAsia="cs-CZ"/>
        </w:rPr>
      </w:r>
    </w:p>
    <w:p>
      <w:pPr>
        <w:keepNext w:val="true"/>
        <w:pBdr/>
        <w:spacing w:after="120" w:line="240" w:lineRule="auto"/>
        <w:ind/>
        <w:jc w:val="center"/>
        <w:outlineLvl w:val="1"/>
        <w:rPr>
          <w:rFonts w:ascii="Arial" w:hAnsi="Arial" w:eastAsia="Times New Roman" w:cs="Arial"/>
          <w:b/>
          <w:bCs/>
          <w:sz w:val="24"/>
          <w:szCs w:val="20"/>
          <w:lang w:eastAsia="cs-CZ"/>
        </w:rPr>
      </w:pPr>
      <w:r>
        <w:rPr>
          <w:rFonts w:ascii="Arial" w:hAnsi="Arial" w:eastAsia="Times New Roman" w:cs="Arial"/>
          <w:b/>
          <w:bCs/>
          <w:sz w:val="24"/>
          <w:szCs w:val="20"/>
          <w:lang w:eastAsia="cs-CZ"/>
        </w:rPr>
        <w:t xml:space="preserve">Svoz nebezpečných složek komunálního odpadu</w:t>
      </w:r>
      <w:r>
        <w:rPr>
          <w:rFonts w:ascii="Arial" w:hAnsi="Arial" w:eastAsia="Times New Roman" w:cs="Arial"/>
          <w:b/>
          <w:bCs/>
          <w:sz w:val="24"/>
          <w:szCs w:val="20"/>
          <w:lang w:eastAsia="cs-CZ"/>
        </w:rPr>
      </w:r>
      <w:r>
        <w:rPr>
          <w:rFonts w:ascii="Arial" w:hAnsi="Arial" w:eastAsia="Times New Roman" w:cs="Arial"/>
          <w:b/>
          <w:bCs/>
          <w:sz w:val="24"/>
          <w:szCs w:val="20"/>
          <w:lang w:eastAsia="cs-CZ"/>
        </w:rPr>
      </w:r>
    </w:p>
    <w:p>
      <w:pPr>
        <w:numPr>
          <w:ilvl w:val="0"/>
          <w:numId w:val="9"/>
        </w:numPr>
        <w:pBdr/>
        <w:tabs>
          <w:tab w:val="left" w:leader="none" w:pos="360"/>
        </w:tabs>
        <w:spacing w:after="120" w:line="240" w:lineRule="auto"/>
        <w:ind w:hanging="426" w:left="426"/>
        <w:jc w:val="both"/>
        <w:rPr>
          <w:rFonts w:ascii="Arial" w:hAnsi="Arial" w:eastAsia="Times New Roman" w:cs="Arial"/>
          <w:color w:val="00b0f0"/>
          <w:sz w:val="24"/>
          <w:szCs w:val="24"/>
          <w:lang w:eastAsia="cs-CZ"/>
        </w:rPr>
      </w:pPr>
      <w:r>
        <w:rPr>
          <w:rFonts w:ascii="Arial" w:hAnsi="Arial" w:eastAsia="Times New Roman" w:cs="Arial"/>
          <w:sz w:val="24"/>
          <w:szCs w:val="24"/>
          <w:lang w:eastAsia="cs-CZ"/>
        </w:rPr>
        <w:t xml:space="preserve">Svoz nebezpečných složek komunálního odpadu je zajišťován </w:t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  <w:t xml:space="preserve">dvakrát ročně </w:t>
      </w:r>
      <w:r>
        <w:rPr>
          <w:rFonts w:ascii="Arial" w:hAnsi="Arial" w:eastAsia="Times New Roman" w:cs="Arial"/>
          <w:sz w:val="24"/>
          <w:szCs w:val="24"/>
          <w:lang w:eastAsia="cs-CZ"/>
        </w:rPr>
        <w:t xml:space="preserve">jejich odebíráním na předem vyhlášených přechodných stanovištích do zvláštních sběrných nádob k tomuto sběru určených</w:t>
      </w:r>
      <w:r>
        <w:rPr>
          <w:rFonts w:ascii="Arial" w:hAnsi="Arial" w:eastAsia="Times New Roman" w:cs="Arial"/>
          <w:sz w:val="24"/>
          <w:szCs w:val="24"/>
          <w:lang w:eastAsia="cs-CZ"/>
        </w:rPr>
        <w:t xml:space="preserve">. </w:t>
      </w:r>
      <w:r>
        <w:rPr>
          <w:rFonts w:ascii="Arial" w:hAnsi="Arial" w:eastAsia="Times New Roman" w:cs="Arial"/>
          <w:color w:val="000000" w:themeColor="text1"/>
          <w:sz w:val="24"/>
          <w:szCs w:val="24"/>
          <w:lang w:eastAsia="cs-CZ"/>
        </w:rPr>
        <w:t xml:space="preserve">I</w:t>
      </w:r>
      <w:r>
        <w:rPr>
          <w:rFonts w:ascii="Arial" w:hAnsi="Arial" w:eastAsia="Times New Roman" w:cs="Arial"/>
          <w:color w:val="000000" w:themeColor="text1"/>
          <w:sz w:val="24"/>
          <w:szCs w:val="24"/>
          <w:lang w:eastAsia="cs-CZ"/>
        </w:rPr>
        <w:t xml:space="preserve">nformace </w:t>
      </w:r>
      <w:r>
        <w:rPr>
          <w:rFonts w:ascii="Arial" w:hAnsi="Arial" w:eastAsia="Times New Roman" w:cs="Arial"/>
          <w:color w:val="000000" w:themeColor="text1"/>
          <w:sz w:val="24"/>
          <w:szCs w:val="24"/>
          <w:lang w:eastAsia="cs-CZ"/>
        </w:rPr>
        <w:t xml:space="preserve">o svozu jsou zveřejňovány na úřední desce obecního úřadu, na webových stránkách obce.</w:t>
      </w:r>
      <w:r>
        <w:rPr>
          <w:rFonts w:ascii="Arial" w:hAnsi="Arial" w:eastAsia="Times New Roman" w:cs="Arial"/>
          <w:color w:val="00b0f0"/>
          <w:sz w:val="24"/>
          <w:szCs w:val="24"/>
          <w:lang w:eastAsia="cs-CZ"/>
        </w:rPr>
      </w:r>
      <w:r>
        <w:rPr>
          <w:rFonts w:ascii="Arial" w:hAnsi="Arial" w:eastAsia="Times New Roman" w:cs="Arial"/>
          <w:color w:val="00b0f0"/>
          <w:sz w:val="24"/>
          <w:szCs w:val="24"/>
          <w:lang w:eastAsia="cs-CZ"/>
        </w:rPr>
      </w:r>
    </w:p>
    <w:p>
      <w:pPr>
        <w:pBdr/>
        <w:tabs>
          <w:tab w:val="left" w:leader="none" w:pos="360"/>
        </w:tabs>
        <w:spacing w:after="120" w:line="240" w:lineRule="auto"/>
        <w:ind w:left="426"/>
        <w:jc w:val="both"/>
        <w:rPr>
          <w:rFonts w:ascii="Arial" w:hAnsi="Arial" w:eastAsia="Times New Roman" w:cs="Arial"/>
          <w:iCs/>
          <w:sz w:val="24"/>
          <w:szCs w:val="24"/>
          <w:lang w:eastAsia="cs-CZ"/>
        </w:rPr>
      </w:pP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</w:p>
    <w:p>
      <w:pPr>
        <w:numPr>
          <w:ilvl w:val="0"/>
          <w:numId w:val="9"/>
        </w:numPr>
        <w:pBdr/>
        <w:tabs>
          <w:tab w:val="left" w:leader="none" w:pos="360"/>
        </w:tabs>
        <w:spacing w:after="120" w:line="240" w:lineRule="auto"/>
        <w:ind w:hanging="426" w:left="426"/>
        <w:jc w:val="both"/>
        <w:rPr>
          <w:rFonts w:ascii="Arial" w:hAnsi="Arial" w:eastAsia="Times New Roman" w:cs="Arial"/>
          <w:iCs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</w:rPr>
        <w:t xml:space="preserve">Soustřeďování nebezpečných složek komunálního odpadu podléhá požadavkům stanoveným v čl. 3 odst. </w:t>
      </w:r>
      <w:r>
        <w:rPr>
          <w:rFonts w:ascii="Arial" w:hAnsi="Arial" w:cs="Arial"/>
          <w:sz w:val="24"/>
          <w:szCs w:val="24"/>
        </w:rPr>
        <w:t xml:space="preserve">4 a </w:t>
      </w:r>
      <w:r>
        <w:rPr>
          <w:rFonts w:ascii="Arial" w:hAnsi="Arial" w:cs="Arial"/>
          <w:sz w:val="24"/>
          <w:szCs w:val="24"/>
        </w:rPr>
        <w:t xml:space="preserve">5 </w:t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  <w:r>
        <w:rPr>
          <w:rFonts w:ascii="Arial" w:hAnsi="Arial" w:eastAsia="Times New Roman" w:cs="Arial"/>
          <w:iCs/>
          <w:sz w:val="24"/>
          <w:szCs w:val="24"/>
          <w:lang w:eastAsia="cs-CZ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sz w:val="24"/>
          <w:szCs w:val="24"/>
          <w:lang w:eastAsia="cs-CZ"/>
        </w:rPr>
      </w:pP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Čl. 5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pBdr/>
        <w:spacing w:after="120" w:line="240" w:lineRule="auto"/>
        <w:ind/>
        <w:jc w:val="center"/>
        <w:rPr>
          <w:rFonts w:ascii="Arial" w:hAnsi="Arial" w:eastAsia="Times New Roman" w:cs="Arial"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Svoz objemného odpadu</w:t>
      </w: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</w:p>
    <w:p>
      <w:pPr>
        <w:pStyle w:val="951"/>
        <w:numPr>
          <w:ilvl w:val="0"/>
          <w:numId w:val="25"/>
        </w:numPr>
        <w:pBdr/>
        <w:tabs>
          <w:tab w:val="left" w:leader="none" w:pos="360"/>
        </w:tabs>
        <w:spacing w:after="120" w:line="240" w:lineRule="auto"/>
        <w:ind/>
        <w:jc w:val="both"/>
        <w:rPr>
          <w:rFonts w:ascii="Arial" w:hAnsi="Arial" w:eastAsia="Times New Roman" w:cs="Arial"/>
          <w:color w:val="000000" w:themeColor="text1"/>
          <w:sz w:val="24"/>
          <w:szCs w:val="24"/>
        </w:rPr>
      </w:pPr>
      <w:r>
        <w:rPr>
          <w:rFonts w:ascii="Arial" w:hAnsi="Arial" w:eastAsia="Times New Roman" w:cs="Arial"/>
          <w:sz w:val="24"/>
          <w:lang w:eastAsia="cs-CZ"/>
        </w:rPr>
        <w:t xml:space="preserve">Svoz objemného odpadu je zajišťován </w:t>
      </w:r>
      <w:r>
        <w:rPr>
          <w:rFonts w:ascii="Arial" w:hAnsi="Arial" w:eastAsia="Times New Roman" w:cs="Arial"/>
          <w:sz w:val="24"/>
          <w:lang w:eastAsia="cs-CZ"/>
        </w:rPr>
        <w:t xml:space="preserve">minimálně jedenkrát ročně </w:t>
      </w:r>
      <w:r>
        <w:rPr>
          <w:rFonts w:ascii="Arial" w:hAnsi="Arial" w:eastAsia="Times New Roman" w:cs="Arial"/>
          <w:sz w:val="24"/>
          <w:lang w:eastAsia="cs-CZ"/>
        </w:rPr>
        <w:t xml:space="preserve">jeho odebíráním na předem vyhlášených přechodných stanovištích přímo do zvláštních sběrných nádob k tomuto účelu určených. </w:t>
      </w:r>
      <w:r>
        <w:rPr>
          <w:rFonts w:ascii="Arial" w:hAnsi="Arial" w:eastAsia="Times New Roman" w:cs="Arial"/>
          <w:color w:val="000000" w:themeColor="text1"/>
          <w:sz w:val="24"/>
          <w:szCs w:val="24"/>
          <w:lang w:eastAsia="cs-CZ"/>
        </w:rPr>
        <w:t xml:space="preserve">Informace o svozu jsou zveřejňovány na úřední desce obecního úřadu, na webových stránkách obce.</w:t>
      </w:r>
      <w:r>
        <w:rPr>
          <w:rFonts w:ascii="Arial" w:hAnsi="Arial" w:eastAsia="Times New Roman" w:cs="Arial"/>
          <w:color w:val="000000" w:themeColor="text1"/>
          <w:sz w:val="24"/>
          <w:szCs w:val="24"/>
        </w:rPr>
      </w:r>
      <w:r>
        <w:rPr>
          <w:rFonts w:ascii="Arial" w:hAnsi="Arial" w:eastAsia="Times New Roman" w:cs="Arial"/>
          <w:color w:val="000000" w:themeColor="text1"/>
          <w:sz w:val="24"/>
          <w:szCs w:val="24"/>
        </w:rPr>
      </w:r>
    </w:p>
    <w:p>
      <w:pPr>
        <w:numPr>
          <w:ilvl w:val="0"/>
          <w:numId w:val="25"/>
        </w:numPr>
        <w:pBdr/>
        <w:tabs>
          <w:tab w:val="left" w:leader="none" w:pos="360"/>
        </w:tabs>
        <w:spacing w:after="120" w:line="240" w:lineRule="auto"/>
        <w:ind/>
        <w:jc w:val="both"/>
        <w:rPr>
          <w:rFonts w:ascii="Arial" w:hAnsi="Arial" w:eastAsia="Times New Roman" w:cs="Arial"/>
          <w:i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Soustřeďování nebezpečných složek komunálního odpadu podléhá požadavkům stanoveným v čl. 3 odst. 4 a 5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</w:rPr>
      </w:r>
      <w:r>
        <w:rPr>
          <w:rFonts w:ascii="Arial" w:hAnsi="Arial" w:eastAsia="Times New Roman" w:cs="Arial"/>
          <w:iCs/>
          <w:color w:val="000000" w:themeColor="text1"/>
          <w:sz w:val="24"/>
          <w:szCs w:val="24"/>
        </w:rPr>
      </w:r>
    </w:p>
    <w:p>
      <w:pPr>
        <w:pBdr/>
        <w:spacing w:after="60" w:line="240" w:lineRule="auto"/>
        <w:ind w:left="425"/>
        <w:jc w:val="both"/>
        <w:rPr>
          <w:rFonts w:ascii="Arial" w:hAnsi="Arial" w:eastAsia="Times New Roman" w:cs="Arial"/>
          <w:iCs/>
          <w:sz w:val="24"/>
          <w:lang w:eastAsia="cs-CZ"/>
        </w:rPr>
      </w:pPr>
      <w:r>
        <w:rPr>
          <w:rFonts w:ascii="Arial" w:hAnsi="Arial" w:eastAsia="Times New Roman" w:cs="Arial"/>
          <w:iCs/>
          <w:sz w:val="24"/>
          <w:lang w:eastAsia="cs-CZ"/>
        </w:rPr>
      </w:r>
      <w:r>
        <w:rPr>
          <w:rFonts w:ascii="Arial" w:hAnsi="Arial" w:eastAsia="Times New Roman" w:cs="Arial"/>
          <w:iCs/>
          <w:sz w:val="24"/>
          <w:lang w:eastAsia="cs-CZ"/>
        </w:rPr>
      </w:r>
      <w:r>
        <w:rPr>
          <w:rFonts w:ascii="Arial" w:hAnsi="Arial" w:eastAsia="Times New Roman" w:cs="Arial"/>
          <w:iCs/>
          <w:sz w:val="24"/>
          <w:lang w:eastAsia="cs-CZ"/>
        </w:rPr>
      </w:r>
    </w:p>
    <w:p>
      <w:pPr>
        <w:keepNext w:val="true"/>
        <w:pBdr/>
        <w:spacing w:after="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Čl. 6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keepNext w:val="true"/>
        <w:pBdr/>
        <w:spacing w:after="12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Soustřeďování směsného komunálního odpadu 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widowControl w:val="false"/>
        <w:numPr>
          <w:ilvl w:val="0"/>
          <w:numId w:val="16"/>
        </w:numPr>
        <w:pBdr/>
        <w:spacing w:after="0" w:line="240" w:lineRule="auto"/>
        <w:ind w:hanging="426" w:left="426"/>
        <w:jc w:val="both"/>
        <w:rPr>
          <w:rFonts w:ascii="Arial" w:hAnsi="Arial" w:cs="Arial"/>
          <w:strike/>
          <w:color w:val="00b0f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Směsný komunální odpad se odkládá do typizovaných sběrných nádob. Pro účely této vyhlášky se sběrnými nádobami rozumějí</w:t>
      </w:r>
      <w:r>
        <w:rPr>
          <w:rFonts w:ascii="Arial" w:hAnsi="Arial" w:cs="Arial"/>
          <w:strike/>
          <w:color w:val="00b0f0"/>
          <w:sz w:val="24"/>
          <w:szCs w:val="24"/>
        </w:rPr>
      </w:r>
      <w:r>
        <w:rPr>
          <w:rFonts w:ascii="Arial" w:hAnsi="Arial" w:cs="Arial"/>
          <w:strike/>
          <w:color w:val="00b0f0"/>
          <w:sz w:val="24"/>
          <w:szCs w:val="24"/>
        </w:rPr>
      </w:r>
    </w:p>
    <w:p>
      <w:pPr>
        <w:numPr>
          <w:ilvl w:val="0"/>
          <w:numId w:val="2"/>
        </w:numPr>
        <w:pBdr/>
        <w:spacing w:after="0" w:line="240" w:lineRule="auto"/>
        <w:ind w:firstLine="6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popelnice</w:t>
      </w:r>
      <w:r>
        <w:rPr>
          <w:rFonts w:ascii="Arial" w:hAnsi="Arial" w:cs="Arial"/>
          <w:iCs/>
          <w:sz w:val="24"/>
          <w:szCs w:val="24"/>
        </w:rPr>
      </w:r>
      <w:r>
        <w:rPr>
          <w:rFonts w:ascii="Arial" w:hAnsi="Arial" w:cs="Arial"/>
          <w:iCs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</w:r>
      <w:r>
        <w:rPr>
          <w:rFonts w:ascii="Arial" w:hAnsi="Arial" w:cs="Arial"/>
          <w:iCs/>
          <w:sz w:val="24"/>
          <w:szCs w:val="24"/>
        </w:rPr>
      </w:r>
      <w:r>
        <w:rPr>
          <w:rFonts w:ascii="Arial" w:hAnsi="Arial" w:cs="Arial"/>
          <w:iCs/>
          <w:sz w:val="24"/>
          <w:szCs w:val="24"/>
        </w:rPr>
      </w:r>
    </w:p>
    <w:p>
      <w:pPr>
        <w:numPr>
          <w:ilvl w:val="0"/>
          <w:numId w:val="16"/>
        </w:numPr>
        <w:pBdr/>
        <w:spacing w:after="0" w:line="240" w:lineRule="auto"/>
        <w:ind w:hanging="426" w:left="426"/>
        <w:jc w:val="both"/>
        <w:rPr>
          <w:rFonts w:ascii="Arial" w:hAnsi="Arial" w:cs="Arial"/>
          <w:color w:val="00b0f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Soustřeďování směsného komunálního odpadu podléhá požadavkům stanoveným v čl.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3 odst.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4 a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5. </w:t>
      </w:r>
      <w:r>
        <w:rPr>
          <w:rFonts w:ascii="Arial" w:hAnsi="Arial" w:cs="Arial"/>
          <w:color w:val="00b0f0"/>
          <w:sz w:val="24"/>
          <w:szCs w:val="24"/>
        </w:rPr>
      </w:r>
      <w:r>
        <w:rPr>
          <w:rFonts w:ascii="Arial" w:hAnsi="Arial" w:cs="Arial"/>
          <w:color w:val="00b0f0"/>
          <w:sz w:val="24"/>
          <w:szCs w:val="24"/>
        </w:rPr>
      </w:r>
    </w:p>
    <w:p>
      <w:pPr>
        <w:keepNext w:val="true"/>
        <w:pBdr/>
        <w:spacing w:after="120" w:line="240" w:lineRule="auto"/>
        <w:ind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pBdr/>
        <w:spacing w:after="0" w:before="36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Čl. 7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pBdr/>
        <w:spacing w:after="12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Nakládání se stavebním odpadem a demoličním odpadem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numPr>
          <w:ilvl w:val="0"/>
          <w:numId w:val="4"/>
        </w:numPr>
        <w:pBdr/>
        <w:tabs>
          <w:tab w:val="num" w:leader="none" w:pos="540"/>
        </w:tabs>
        <w:spacing w:after="120" w:line="240" w:lineRule="auto"/>
        <w:ind w:hanging="540" w:left="540"/>
        <w:jc w:val="both"/>
        <w:rPr>
          <w:rFonts w:ascii="Arial" w:hAnsi="Arial" w:eastAsia="Times New Roman" w:cs="Arial"/>
          <w:sz w:val="24"/>
          <w:szCs w:val="24"/>
          <w:lang w:eastAsia="cs-CZ"/>
        </w:rPr>
      </w:pPr>
      <w:r>
        <w:rPr>
          <w:rFonts w:ascii="Arial" w:hAnsi="Arial" w:eastAsia="Times New Roman" w:cs="Arial"/>
          <w:sz w:val="24"/>
          <w:szCs w:val="24"/>
          <w:lang w:eastAsia="cs-CZ"/>
        </w:rPr>
        <w:t xml:space="preserve">Stavebním odpadem a demoličním odpadem se rozumí odpad vznikající při stavebních a demoličních činnostech nepodnikajících fyzických osob. Stavební a demoliční odpad není odpadem komunálním.</w:t>
      </w: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</w:p>
    <w:p>
      <w:pPr>
        <w:numPr>
          <w:ilvl w:val="0"/>
          <w:numId w:val="4"/>
        </w:numPr>
        <w:pBdr/>
        <w:tabs>
          <w:tab w:val="num" w:leader="none" w:pos="540"/>
        </w:tabs>
        <w:spacing w:after="120" w:line="240" w:lineRule="auto"/>
        <w:ind w:hanging="540" w:left="540"/>
        <w:jc w:val="both"/>
        <w:rPr>
          <w:rFonts w:ascii="Arial" w:hAnsi="Arial" w:eastAsia="Times New Roman" w:cs="Arial"/>
          <w:sz w:val="24"/>
          <w:szCs w:val="24"/>
          <w:lang w:eastAsia="cs-CZ"/>
        </w:rPr>
      </w:pPr>
      <w:r>
        <w:rPr>
          <w:rFonts w:ascii="Arial" w:hAnsi="Arial" w:eastAsia="Times New Roman" w:cs="Arial"/>
          <w:sz w:val="24"/>
          <w:szCs w:val="24"/>
          <w:lang w:eastAsia="cs-CZ"/>
        </w:rPr>
        <w:t xml:space="preserve">Stavební odpad lze použít, předat či zlikvidovat zákonem stanoveným způsobem.</w:t>
      </w: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</w:p>
    <w:p>
      <w:pPr>
        <w:numPr>
          <w:ilvl w:val="0"/>
          <w:numId w:val="4"/>
        </w:numPr>
        <w:pBdr/>
        <w:tabs>
          <w:tab w:val="clear" w:leader="none" w:pos="720"/>
        </w:tabs>
        <w:spacing w:after="120" w:line="240" w:lineRule="auto"/>
        <w:ind w:hanging="567"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 odložení stavebního odpadu je možné objednat prostřednictvím obecního úřadu kontejner, který bude za úplatu přistaven a odvezen. 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120" w:line="240" w:lineRule="auto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/>
        <w:rPr>
          <w:rFonts w:ascii="Arial" w:hAnsi="Arial" w:eastAsia="Times New Roman" w:cs="Arial"/>
          <w:sz w:val="24"/>
          <w:szCs w:val="24"/>
          <w:lang w:eastAsia="cs-CZ"/>
        </w:rPr>
      </w:pP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Čl. 8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pBdr/>
        <w:spacing w:after="12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Zrušovací ustanovení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pBdr/>
        <w:spacing/>
        <w:ind/>
        <w:jc w:val="both"/>
        <w:rPr>
          <w:rFonts w:ascii="Arial" w:hAnsi="Arial" w:eastAsia="Times New Roman" w:cs="Arial"/>
          <w:color w:val="000000" w:themeColor="text1"/>
          <w:sz w:val="24"/>
          <w:szCs w:val="24"/>
        </w:rPr>
      </w:pPr>
      <w:r>
        <w:rPr>
          <w:rFonts w:ascii="Arial" w:hAnsi="Arial" w:eastAsia="Times New Roman" w:cs="Arial"/>
          <w:color w:val="000000" w:themeColor="text1"/>
          <w:sz w:val="24"/>
          <w:szCs w:val="24"/>
          <w:lang w:eastAsia="cs-CZ"/>
        </w:rPr>
        <w:t xml:space="preserve">Zrušuje se obecně závazná vyhláška </w:t>
      </w:r>
      <w:r>
        <w:rPr>
          <w:rFonts w:ascii="Arial" w:hAnsi="Arial" w:eastAsia="Times New Roman" w:cs="Arial"/>
          <w:color w:val="000000" w:themeColor="text1"/>
          <w:sz w:val="24"/>
          <w:szCs w:val="24"/>
          <w:lang w:eastAsia="cs-CZ"/>
        </w:rPr>
        <w:t xml:space="preserve">č. 1/20</w:t>
      </w:r>
      <w:r>
        <w:rPr>
          <w:rFonts w:ascii="Arial" w:hAnsi="Arial" w:eastAsia="Times New Roman" w:cs="Arial"/>
          <w:color w:val="000000" w:themeColor="text1"/>
          <w:sz w:val="24"/>
          <w:szCs w:val="24"/>
          <w:lang w:eastAsia="cs-CZ"/>
        </w:rPr>
        <w:t xml:space="preserve">25</w:t>
      </w:r>
      <w:r>
        <w:rPr>
          <w:rFonts w:ascii="Arial" w:hAnsi="Arial" w:eastAsia="Times New Roman" w:cs="Arial"/>
          <w:color w:val="000000" w:themeColor="text1"/>
          <w:sz w:val="24"/>
          <w:szCs w:val="24"/>
          <w:lang w:eastAsia="cs-CZ"/>
        </w:rPr>
        <w:t xml:space="preserve">,</w:t>
      </w:r>
      <w:r>
        <w:rPr>
          <w:color w:val="000000" w:themeColor="text1"/>
        </w:rPr>
        <w:t xml:space="preserve"> </w:t>
      </w:r>
      <w:r>
        <w:rPr>
          <w:rFonts w:ascii="Arial" w:hAnsi="Arial" w:eastAsia="Times New Roman" w:cs="Arial"/>
          <w:color w:val="000000" w:themeColor="text1"/>
          <w:sz w:val="24"/>
          <w:szCs w:val="24"/>
          <w:lang w:eastAsia="cs-CZ"/>
        </w:rPr>
        <w:t xml:space="preserve">o stanovení obecního systému odpadového hospodářství</w:t>
      </w:r>
      <w:r>
        <w:rPr>
          <w:rFonts w:ascii="Arial" w:hAnsi="Arial" w:eastAsia="Times New Roman" w:cs="Arial"/>
          <w:color w:val="000000" w:themeColor="text1"/>
          <w:sz w:val="24"/>
          <w:szCs w:val="24"/>
          <w:lang w:eastAsia="cs-CZ"/>
        </w:rPr>
        <w:t xml:space="preserve"> ze dne </w:t>
      </w:r>
      <w:r>
        <w:rPr>
          <w:rFonts w:ascii="Arial" w:hAnsi="Arial" w:eastAsia="Times New Roman" w:cs="Arial"/>
          <w:color w:val="000000" w:themeColor="text1"/>
          <w:sz w:val="24"/>
          <w:szCs w:val="24"/>
          <w:lang w:eastAsia="cs-CZ"/>
        </w:rPr>
        <w:t xml:space="preserve">19</w:t>
      </w:r>
      <w:r>
        <w:rPr>
          <w:rFonts w:ascii="Arial" w:hAnsi="Arial" w:eastAsia="Times New Roman" w:cs="Arial"/>
          <w:color w:val="000000" w:themeColor="text1"/>
          <w:sz w:val="24"/>
          <w:szCs w:val="24"/>
          <w:lang w:eastAsia="cs-CZ"/>
        </w:rPr>
        <w:t xml:space="preserve">.</w:t>
      </w:r>
      <w:r>
        <w:rPr>
          <w:rFonts w:ascii="Arial" w:hAnsi="Arial" w:eastAsia="Times New Roman" w:cs="Arial"/>
          <w:color w:val="000000" w:themeColor="text1"/>
          <w:sz w:val="24"/>
          <w:szCs w:val="24"/>
          <w:lang w:eastAsia="cs-CZ"/>
        </w:rPr>
        <w:t xml:space="preserve">2</w:t>
      </w:r>
      <w:r>
        <w:rPr>
          <w:rFonts w:ascii="Arial" w:hAnsi="Arial" w:eastAsia="Times New Roman" w:cs="Arial"/>
          <w:color w:val="000000" w:themeColor="text1"/>
          <w:sz w:val="24"/>
          <w:szCs w:val="24"/>
          <w:lang w:eastAsia="cs-CZ"/>
        </w:rPr>
        <w:t xml:space="preserve">.20</w:t>
      </w:r>
      <w:r>
        <w:rPr>
          <w:rFonts w:ascii="Arial" w:hAnsi="Arial" w:eastAsia="Times New Roman" w:cs="Arial"/>
          <w:color w:val="000000" w:themeColor="text1"/>
          <w:sz w:val="24"/>
          <w:szCs w:val="24"/>
          <w:lang w:eastAsia="cs-CZ"/>
        </w:rPr>
        <w:t xml:space="preserve">25</w:t>
      </w:r>
      <w:r>
        <w:rPr>
          <w:rFonts w:ascii="Arial" w:hAnsi="Arial" w:eastAsia="Times New Roman" w:cs="Arial"/>
          <w:color w:val="000000" w:themeColor="text1"/>
          <w:sz w:val="24"/>
          <w:szCs w:val="24"/>
          <w:lang w:eastAsia="cs-CZ"/>
        </w:rPr>
        <w:t xml:space="preserve">.</w:t>
      </w:r>
      <w:r>
        <w:rPr>
          <w:rFonts w:ascii="Arial" w:hAnsi="Arial" w:eastAsia="Times New Roman" w:cs="Arial"/>
          <w:color w:val="000000" w:themeColor="text1"/>
          <w:sz w:val="24"/>
          <w:szCs w:val="24"/>
        </w:rPr>
      </w:r>
      <w:r>
        <w:rPr>
          <w:rFonts w:ascii="Arial" w:hAnsi="Arial" w:eastAsia="Times New Roman" w:cs="Arial"/>
          <w:color w:val="000000" w:themeColor="text1"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keepNext w:val="true"/>
        <w:pBdr/>
        <w:spacing w:after="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 xml:space="preserve">Čl. 9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keepNext w:val="true"/>
        <w:pBdr/>
        <w:tabs>
          <w:tab w:val="center" w:leader="none" w:pos="4535"/>
          <w:tab w:val="left" w:leader="none" w:pos="8325"/>
        </w:tabs>
        <w:spacing w:after="120" w:line="240" w:lineRule="auto"/>
        <w:ind/>
        <w:rPr>
          <w:rFonts w:ascii="Arial" w:hAnsi="Arial" w:eastAsia="Times New Roman" w:cs="Arial"/>
          <w:b/>
          <w:sz w:val="24"/>
          <w:szCs w:val="24"/>
          <w:lang w:eastAsia="cs-CZ"/>
        </w:rPr>
      </w:pPr>
      <w:r>
        <w:rPr>
          <w:rFonts w:ascii="Arial" w:hAnsi="Arial" w:eastAsia="Times New Roman" w:cs="Arial"/>
          <w:b/>
          <w:sz w:val="24"/>
          <w:szCs w:val="24"/>
          <w:lang w:eastAsia="cs-CZ"/>
        </w:rPr>
        <w:tab/>
        <w:t xml:space="preserve">Účinnost</w:t>
      </w:r>
      <w:r>
        <w:rPr>
          <w:rFonts w:ascii="Arial" w:hAnsi="Arial" w:eastAsia="Times New Roman" w:cs="Arial"/>
          <w:b/>
          <w:sz w:val="24"/>
          <w:szCs w:val="24"/>
          <w:lang w:eastAsia="cs-CZ"/>
        </w:rPr>
        <w:tab/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  <w:r>
        <w:rPr>
          <w:rFonts w:ascii="Arial" w:hAnsi="Arial" w:eastAsia="Times New Roman" w:cs="Arial"/>
          <w:b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both"/>
        <w:rPr>
          <w:rFonts w:ascii="Arial" w:hAnsi="Arial" w:eastAsia="Times New Roman" w:cs="Arial"/>
          <w:sz w:val="24"/>
          <w:szCs w:val="24"/>
          <w:lang w:eastAsia="cs-CZ"/>
        </w:rPr>
      </w:pPr>
      <w:r>
        <w:rPr>
          <w:rFonts w:ascii="Arial" w:hAnsi="Arial" w:eastAsia="Times New Roman" w:cs="Arial"/>
          <w:sz w:val="24"/>
          <w:lang w:eastAsia="cs-CZ"/>
        </w:rPr>
        <w:t xml:space="preserve">Tato vyhláška nabývá účinnosti počátkem patnáctého dne po dni jejího vyhlášení.</w:t>
      </w:r>
      <w:r>
        <w:rPr>
          <w:rFonts w:ascii="Arial" w:hAnsi="Arial" w:eastAsia="Times New Roman" w:cs="Arial"/>
          <w:sz w:val="24"/>
          <w:szCs w:val="24"/>
          <w:lang w:eastAsia="cs-CZ"/>
        </w:rPr>
      </w:r>
      <w:r>
        <w:rPr>
          <w:rFonts w:ascii="Arial" w:hAnsi="Arial" w:eastAsia="Times New Roman" w:cs="Arial"/>
          <w:sz w:val="24"/>
          <w:szCs w:val="24"/>
          <w:lang w:eastAsia="cs-CZ"/>
        </w:rPr>
      </w:r>
    </w:p>
    <w:p>
      <w:pPr>
        <w:pBdr/>
        <w:tabs>
          <w:tab w:val="left" w:leader="none" w:pos="1440"/>
          <w:tab w:val="left" w:leader="none" w:pos="7020"/>
        </w:tabs>
        <w:spacing w:after="0" w:line="264" w:lineRule="auto"/>
        <w:ind/>
        <w:rPr>
          <w:rFonts w:ascii="Arial" w:hAnsi="Arial" w:eastAsia="Times New Roman" w:cs="Arial"/>
          <w:bCs/>
          <w:i/>
          <w:lang w:eastAsia="ar-SA"/>
        </w:rPr>
      </w:pPr>
      <w:r>
        <w:rPr>
          <w:rFonts w:ascii="Arial" w:hAnsi="Arial" w:eastAsia="Times New Roman" w:cs="Arial"/>
          <w:bCs/>
          <w:i/>
          <w:lang w:eastAsia="ar-SA"/>
        </w:rPr>
      </w:r>
      <w:r>
        <w:rPr>
          <w:rFonts w:ascii="Arial" w:hAnsi="Arial" w:eastAsia="Times New Roman" w:cs="Arial"/>
          <w:bCs/>
          <w:i/>
          <w:lang w:eastAsia="ar-SA"/>
        </w:rPr>
      </w:r>
      <w:r>
        <w:rPr>
          <w:rFonts w:ascii="Arial" w:hAnsi="Arial" w:eastAsia="Times New Roman" w:cs="Arial"/>
          <w:bCs/>
          <w:i/>
          <w:lang w:eastAsia="ar-SA"/>
        </w:rPr>
      </w:r>
    </w:p>
    <w:p>
      <w:pPr>
        <w:pBdr/>
        <w:tabs>
          <w:tab w:val="left" w:leader="none" w:pos="1440"/>
          <w:tab w:val="left" w:leader="none" w:pos="7020"/>
        </w:tabs>
        <w:spacing w:after="0" w:line="264" w:lineRule="auto"/>
        <w:ind/>
        <w:rPr>
          <w:rFonts w:ascii="Arial" w:hAnsi="Arial" w:eastAsia="Times New Roman" w:cs="Arial"/>
          <w:i/>
          <w:lang w:eastAsia="cs-CZ"/>
        </w:rPr>
      </w:pPr>
      <w:r>
        <w:rPr>
          <w:rFonts w:ascii="Arial" w:hAnsi="Arial" w:eastAsia="Times New Roman" w:cs="Arial"/>
          <w:i/>
          <w:lang w:eastAsia="cs-CZ"/>
        </w:rPr>
      </w:r>
      <w:r>
        <w:rPr>
          <w:rFonts w:ascii="Arial" w:hAnsi="Arial" w:eastAsia="Times New Roman" w:cs="Arial"/>
          <w:i/>
          <w:lang w:eastAsia="cs-CZ"/>
        </w:rPr>
      </w:r>
      <w:r>
        <w:rPr>
          <w:rFonts w:ascii="Arial" w:hAnsi="Arial" w:eastAsia="Times New Roman" w:cs="Arial"/>
          <w:i/>
          <w:lang w:eastAsia="cs-CZ"/>
        </w:rPr>
      </w:r>
    </w:p>
    <w:p>
      <w:pPr>
        <w:pBdr/>
        <w:tabs>
          <w:tab w:val="left" w:leader="none" w:pos="720"/>
          <w:tab w:val="left" w:leader="none" w:pos="6120"/>
        </w:tabs>
        <w:spacing w:after="0" w:line="264" w:lineRule="auto"/>
        <w:ind/>
        <w:rPr>
          <w:rFonts w:ascii="Arial" w:hAnsi="Arial" w:eastAsia="Times New Roman" w:cs="Arial"/>
          <w:bCs/>
          <w:i/>
          <w:lang w:eastAsia="cs-CZ"/>
        </w:rPr>
      </w:pPr>
      <w:r>
        <w:rPr>
          <w:rFonts w:ascii="Arial" w:hAnsi="Arial" w:eastAsia="Times New Roman" w:cs="Arial"/>
          <w:i/>
          <w:lang w:eastAsia="cs-CZ"/>
        </w:rPr>
      </w:r>
      <w:r>
        <w:rPr>
          <w:rFonts w:ascii="Arial" w:hAnsi="Arial" w:eastAsia="Times New Roman" w:cs="Arial"/>
          <w:i/>
          <w:lang w:eastAsia="cs-CZ"/>
        </w:rPr>
      </w:r>
    </w:p>
    <w:p>
      <w:pPr>
        <w:pBdr/>
        <w:tabs>
          <w:tab w:val="left" w:leader="none" w:pos="720"/>
          <w:tab w:val="left" w:leader="none" w:pos="6120"/>
        </w:tabs>
        <w:spacing w:after="0" w:line="264" w:lineRule="auto"/>
        <w:ind/>
        <w:rPr>
          <w:rFonts w:ascii="Arial" w:hAnsi="Arial" w:eastAsia="Times New Roman" w:cs="Arial"/>
          <w:bCs/>
          <w:i/>
          <w:lang w:eastAsia="cs-CZ"/>
        </w:rPr>
      </w:pPr>
      <w:r>
        <w:rPr>
          <w:rFonts w:ascii="Arial" w:hAnsi="Arial" w:eastAsia="Times New Roman" w:cs="Arial"/>
          <w:bCs/>
          <w:i/>
          <w:lang w:eastAsia="cs-CZ"/>
        </w:rPr>
      </w:r>
      <w:r>
        <w:rPr>
          <w:rFonts w:ascii="Arial" w:hAnsi="Arial" w:eastAsia="Times New Roman" w:cs="Arial"/>
          <w:bCs/>
          <w:i/>
          <w:lang w:eastAsia="cs-CZ"/>
        </w:rPr>
      </w:r>
    </w:p>
    <w:p>
      <w:pPr>
        <w:pBdr/>
        <w:tabs>
          <w:tab w:val="left" w:leader="none" w:pos="720"/>
          <w:tab w:val="left" w:leader="none" w:pos="6120"/>
        </w:tabs>
        <w:spacing w:after="0" w:line="264" w:lineRule="auto"/>
        <w:ind/>
        <w:rPr>
          <w:rFonts w:ascii="Arial" w:hAnsi="Arial" w:eastAsia="Times New Roman" w:cs="Arial"/>
          <w:bCs/>
          <w:i/>
          <w:lang w:eastAsia="cs-CZ"/>
        </w:rPr>
      </w:pPr>
      <w:r>
        <w:rPr>
          <w:rFonts w:ascii="Arial" w:hAnsi="Arial" w:eastAsia="Times New Roman" w:cs="Arial"/>
          <w:bCs/>
          <w:i/>
          <w:lang w:eastAsia="cs-CZ"/>
        </w:rPr>
      </w:r>
      <w:r>
        <w:rPr>
          <w:rFonts w:ascii="Arial" w:hAnsi="Arial" w:eastAsia="Times New Roman" w:cs="Arial"/>
          <w:bCs/>
          <w:i/>
          <w:lang w:eastAsia="cs-CZ"/>
        </w:rPr>
      </w:r>
    </w:p>
    <w:p>
      <w:pPr>
        <w:pBdr/>
        <w:tabs>
          <w:tab w:val="left" w:leader="none" w:pos="720"/>
          <w:tab w:val="left" w:leader="none" w:pos="6120"/>
        </w:tabs>
        <w:spacing w:after="0" w:line="264" w:lineRule="auto"/>
        <w:ind/>
        <w:rPr>
          <w:rFonts w:ascii="Arial" w:hAnsi="Arial" w:eastAsia="Times New Roman" w:cs="Arial"/>
          <w:bCs/>
          <w:i/>
          <w:lang w:eastAsia="cs-CZ"/>
        </w:rPr>
      </w:pPr>
      <w:r>
        <w:rPr>
          <w:rFonts w:ascii="Arial" w:hAnsi="Arial" w:eastAsia="Times New Roman" w:cs="Arial"/>
          <w:bCs/>
          <w:i/>
          <w:lang w:eastAsia="cs-CZ"/>
        </w:rPr>
      </w:r>
      <w:r>
        <w:rPr>
          <w:rFonts w:ascii="Arial" w:hAnsi="Arial" w:eastAsia="Times New Roman" w:cs="Arial"/>
          <w:bCs/>
          <w:i/>
          <w:lang w:eastAsia="cs-CZ"/>
        </w:rPr>
      </w:r>
    </w:p>
    <w:p>
      <w:pPr>
        <w:pBdr/>
        <w:tabs>
          <w:tab w:val="left" w:leader="none" w:pos="720"/>
          <w:tab w:val="left" w:leader="none" w:pos="6120"/>
        </w:tabs>
        <w:spacing w:after="0" w:line="264" w:lineRule="auto"/>
        <w:ind/>
        <w:rPr>
          <w:rFonts w:ascii="Arial" w:hAnsi="Arial" w:eastAsia="Times New Roman" w:cs="Arial"/>
          <w:bCs/>
          <w:i/>
          <w:lang w:eastAsia="cs-CZ"/>
        </w:rPr>
      </w:pPr>
      <w:r>
        <w:rPr>
          <w:rFonts w:ascii="Arial" w:hAnsi="Arial" w:eastAsia="Times New Roman" w:cs="Arial"/>
          <w:bCs/>
          <w:i/>
          <w:lang w:eastAsia="cs-CZ"/>
        </w:rPr>
      </w:r>
      <w:r>
        <w:rPr>
          <w:rFonts w:ascii="Arial" w:hAnsi="Arial" w:eastAsia="Times New Roman" w:cs="Arial"/>
          <w:bCs/>
          <w:i/>
          <w:lang w:eastAsia="cs-CZ"/>
        </w:rPr>
      </w:r>
    </w:p>
    <w:p>
      <w:pPr>
        <w:pBdr/>
        <w:tabs>
          <w:tab w:val="left" w:leader="none" w:pos="720"/>
          <w:tab w:val="left" w:leader="none" w:pos="6120"/>
        </w:tabs>
        <w:spacing w:after="0" w:line="264" w:lineRule="auto"/>
        <w:ind/>
        <w:rPr>
          <w:rFonts w:ascii="Arial" w:hAnsi="Arial" w:eastAsia="Times New Roman" w:cs="Arial"/>
          <w:bCs/>
          <w:i/>
          <w:lang w:eastAsia="cs-CZ"/>
        </w:rPr>
      </w:pPr>
      <w:r>
        <w:rPr>
          <w:rFonts w:ascii="Arial" w:hAnsi="Arial" w:eastAsia="Times New Roman" w:cs="Arial"/>
          <w:bCs/>
          <w:i/>
          <w:lang w:eastAsia="cs-CZ"/>
        </w:rPr>
      </w:r>
      <w:r>
        <w:rPr>
          <w:rFonts w:ascii="Arial" w:hAnsi="Arial" w:eastAsia="Times New Roman" w:cs="Arial"/>
          <w:bCs/>
          <w:i/>
          <w:lang w:eastAsia="cs-CZ"/>
        </w:rPr>
      </w:r>
    </w:p>
    <w:p>
      <w:pPr>
        <w:pBdr/>
        <w:tabs>
          <w:tab w:val="left" w:leader="none" w:pos="720"/>
          <w:tab w:val="left" w:leader="none" w:pos="6120"/>
        </w:tabs>
        <w:spacing w:after="0" w:line="264" w:lineRule="auto"/>
        <w:ind/>
        <w:rPr>
          <w:rFonts w:ascii="Arial" w:hAnsi="Arial" w:eastAsia="Times New Roman" w:cs="Arial"/>
          <w:bCs/>
          <w:i/>
          <w:lang w:eastAsia="cs-CZ"/>
        </w:rPr>
      </w:pPr>
      <w:r>
        <w:rPr>
          <w:rFonts w:ascii="Arial" w:hAnsi="Arial" w:eastAsia="Times New Roman" w:cs="Arial"/>
          <w:lang w:eastAsia="cs-CZ"/>
        </w:rPr>
      </w:r>
      <w:r>
        <w:rPr>
          <w:rFonts w:ascii="Arial" w:hAnsi="Arial" w:eastAsia="Times New Roman" w:cs="Arial"/>
          <w:i/>
          <w:lang w:eastAsia="cs-CZ"/>
        </w:rPr>
      </w:r>
    </w:p>
    <w:p>
      <w:pPr>
        <w:pBdr/>
        <w:tabs>
          <w:tab w:val="left" w:leader="none" w:pos="720"/>
          <w:tab w:val="left" w:leader="none" w:pos="6120"/>
        </w:tabs>
        <w:spacing w:after="0" w:line="264" w:lineRule="auto"/>
        <w:ind/>
        <w:rPr>
          <w:rFonts w:ascii="Arial" w:hAnsi="Arial" w:eastAsia="Times New Roman" w:cs="Arial"/>
          <w:i/>
          <w:lang w:eastAsia="cs-CZ"/>
        </w:rPr>
      </w:pPr>
      <w:r>
        <w:rPr>
          <w:rFonts w:ascii="Arial" w:hAnsi="Arial" w:eastAsia="Times New Roman" w:cs="Arial"/>
          <w:i/>
          <w:lang w:eastAsia="cs-CZ"/>
        </w:rPr>
        <w:t xml:space="preserve">...................................</w:t>
      </w:r>
      <w:r>
        <w:rPr>
          <w:rFonts w:ascii="Arial" w:hAnsi="Arial" w:eastAsia="Times New Roman" w:cs="Arial"/>
          <w:i/>
          <w:lang w:eastAsia="cs-CZ"/>
        </w:rPr>
        <w:tab/>
        <w:t xml:space="preserve">..........................................</w:t>
      </w:r>
      <w:r>
        <w:rPr>
          <w:rFonts w:ascii="Arial" w:hAnsi="Arial" w:eastAsia="Times New Roman" w:cs="Arial"/>
          <w:i/>
          <w:lang w:eastAsia="cs-CZ"/>
        </w:rPr>
      </w:r>
      <w:r>
        <w:rPr>
          <w:rFonts w:ascii="Arial" w:hAnsi="Arial" w:eastAsia="Times New Roman" w:cs="Arial"/>
          <w:i/>
          <w:lang w:eastAsia="cs-CZ"/>
        </w:rPr>
      </w:r>
    </w:p>
    <w:p>
      <w:pPr>
        <w:pBdr/>
        <w:tabs>
          <w:tab w:val="left" w:leader="none" w:pos="284"/>
          <w:tab w:val="left" w:leader="none" w:pos="6379"/>
        </w:tabs>
        <w:spacing w:after="120" w:line="240" w:lineRule="auto"/>
        <w:ind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 xml:space="preserve">     Josef Pícha</w:t>
      </w:r>
      <w:r>
        <w:rPr>
          <w:rFonts w:ascii="Arial" w:hAnsi="Arial" w:eastAsia="Times New Roman" w:cs="Arial"/>
          <w:lang w:eastAsia="cs-CZ"/>
        </w:rPr>
        <w:tab/>
        <w:t xml:space="preserve">   Pavel Strnad</w:t>
      </w:r>
      <w:r>
        <w:rPr>
          <w:rFonts w:ascii="Arial" w:hAnsi="Arial" w:eastAsia="Times New Roman" w:cs="Arial"/>
          <w:lang w:eastAsia="cs-CZ"/>
        </w:rPr>
      </w:r>
      <w:r>
        <w:rPr>
          <w:rFonts w:ascii="Arial" w:hAnsi="Arial" w:eastAsia="Times New Roman" w:cs="Arial"/>
          <w:lang w:eastAsia="cs-CZ"/>
        </w:rPr>
      </w:r>
    </w:p>
    <w:p>
      <w:pPr>
        <w:pBdr/>
        <w:tabs>
          <w:tab w:val="left" w:leader="none" w:pos="284"/>
          <w:tab w:val="left" w:leader="none" w:pos="6379"/>
        </w:tabs>
        <w:spacing w:after="120" w:line="240" w:lineRule="auto"/>
        <w:ind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sz w:val="24"/>
          <w:szCs w:val="20"/>
          <w:lang w:eastAsia="cs-CZ"/>
        </w:rPr>
        <w:t xml:space="preserve">    </w:t>
      </w:r>
      <w:r>
        <w:rPr>
          <w:rFonts w:ascii="Arial" w:hAnsi="Arial" w:eastAsia="Times New Roman" w:cs="Arial"/>
          <w:lang w:eastAsia="cs-CZ"/>
        </w:rPr>
        <w:t xml:space="preserve">místostarosta</w:t>
      </w:r>
      <w:r>
        <w:rPr>
          <w:rFonts w:ascii="Arial" w:hAnsi="Arial" w:eastAsia="Times New Roman" w:cs="Arial"/>
          <w:lang w:eastAsia="cs-CZ"/>
        </w:rPr>
        <w:tab/>
        <w:t xml:space="preserve">       starosta</w:t>
      </w:r>
      <w:r>
        <w:rPr>
          <w:rFonts w:ascii="Arial" w:hAnsi="Arial" w:eastAsia="Times New Roman" w:cs="Arial"/>
          <w:lang w:eastAsia="cs-CZ"/>
        </w:rPr>
      </w:r>
      <w:r>
        <w:rPr>
          <w:rFonts w:ascii="Arial" w:hAnsi="Arial" w:eastAsia="Times New Roman" w:cs="Arial"/>
          <w:lang w:eastAsia="cs-CZ"/>
        </w:rPr>
      </w:r>
    </w:p>
    <w:p>
      <w:pPr>
        <w:pBdr/>
        <w:spacing/>
        <w:ind/>
        <w:rPr>
          <w:rFonts w:ascii="Calibri" w:hAnsi="Calibri" w:eastAsia="Calibri" w:cs="Times New Roman"/>
        </w:rPr>
      </w:pPr>
      <w:r>
        <w:rPr>
          <w:rFonts w:ascii="Calibri" w:hAnsi="Calibri" w:eastAsia="Calibri" w:cs="Times New Roman"/>
        </w:rPr>
      </w:r>
      <w:r>
        <w:rPr>
          <w:rFonts w:ascii="Calibri" w:hAnsi="Calibri" w:eastAsia="Calibri" w:cs="Times New Roman"/>
        </w:rPr>
      </w:r>
      <w:r>
        <w:rPr>
          <w:rFonts w:ascii="Calibri" w:hAnsi="Calibri" w:eastAsia="Calibri" w:cs="Times New Roman"/>
        </w:rPr>
      </w:r>
    </w:p>
    <w:p>
      <w:pPr>
        <w:pBdr/>
        <w:spacing/>
        <w:ind/>
        <w:rPr>
          <w:rFonts w:ascii="Calibri" w:hAnsi="Calibri" w:eastAsia="Calibri" w:cs="Times New Roman"/>
        </w:rPr>
      </w:pPr>
      <w:r>
        <w:rPr>
          <w:rFonts w:ascii="Calibri" w:hAnsi="Calibri" w:eastAsia="Calibri" w:cs="Times New Roman"/>
        </w:rPr>
      </w:r>
      <w:r>
        <w:rPr>
          <w:rFonts w:ascii="Calibri" w:hAnsi="Calibri" w:eastAsia="Calibri" w:cs="Times New Roman"/>
        </w:rPr>
      </w:r>
      <w:r>
        <w:rPr>
          <w:rFonts w:ascii="Calibri" w:hAnsi="Calibri" w:eastAsia="Calibri" w:cs="Times New Roman"/>
        </w:rPr>
      </w:r>
    </w:p>
    <w:p>
      <w:pPr>
        <w:pBdr/>
        <w:tabs>
          <w:tab w:val="left" w:leader="none" w:pos="1080"/>
          <w:tab w:val="left" w:leader="none" w:pos="7020"/>
        </w:tabs>
        <w:spacing w:after="0" w:line="264" w:lineRule="auto"/>
        <w:ind/>
        <w:rPr>
          <w:rFonts w:ascii="Arial" w:hAnsi="Arial" w:eastAsia="Times New Roman" w:cs="Arial"/>
          <w:sz w:val="24"/>
          <w:lang w:eastAsia="cs-CZ"/>
        </w:rPr>
      </w:pPr>
      <w:r>
        <w:rPr>
          <w:rFonts w:ascii="Arial" w:hAnsi="Arial" w:eastAsia="Times New Roman" w:cs="Arial"/>
          <w:sz w:val="24"/>
          <w:lang w:eastAsia="cs-CZ"/>
        </w:rPr>
        <w:t xml:space="preserve">Vyvěšeno na úřední desce dne :   17.května 2025</w:t>
      </w:r>
      <w:r>
        <w:rPr>
          <w:rFonts w:ascii="Arial" w:hAnsi="Arial" w:eastAsia="Times New Roman" w:cs="Arial"/>
          <w:sz w:val="24"/>
          <w:lang w:eastAsia="cs-CZ"/>
        </w:rPr>
      </w:r>
      <w:r>
        <w:rPr>
          <w:rFonts w:ascii="Arial" w:hAnsi="Arial" w:eastAsia="Times New Roman" w:cs="Arial"/>
          <w:sz w:val="24"/>
          <w:lang w:eastAsia="cs-CZ"/>
        </w:rPr>
      </w:r>
    </w:p>
    <w:p>
      <w:pPr>
        <w:pBdr/>
        <w:tabs>
          <w:tab w:val="left" w:leader="none" w:pos="1080"/>
          <w:tab w:val="left" w:leader="none" w:pos="7020"/>
        </w:tabs>
        <w:spacing w:after="0" w:line="264" w:lineRule="auto"/>
        <w:ind/>
        <w:rPr>
          <w:rFonts w:ascii="Arial" w:hAnsi="Arial" w:eastAsia="Times New Roman" w:cs="Arial"/>
          <w:sz w:val="24"/>
          <w:lang w:eastAsia="cs-CZ"/>
        </w:rPr>
      </w:pPr>
      <w:r>
        <w:rPr>
          <w:rFonts w:ascii="Arial" w:hAnsi="Arial" w:eastAsia="Times New Roman" w:cs="Arial"/>
          <w:sz w:val="24"/>
          <w:lang w:eastAsia="cs-CZ"/>
        </w:rPr>
        <w:t xml:space="preserve">Sejmuto z úřední desky dne      :     6.června 2025</w:t>
      </w:r>
      <w:r>
        <w:rPr>
          <w:rFonts w:ascii="Arial" w:hAnsi="Arial" w:eastAsia="Times New Roman" w:cs="Arial"/>
          <w:sz w:val="24"/>
          <w:lang w:eastAsia="cs-CZ"/>
        </w:rPr>
      </w:r>
      <w:r>
        <w:rPr>
          <w:rFonts w:ascii="Arial" w:hAnsi="Arial" w:eastAsia="Times New Roman" w:cs="Arial"/>
          <w:sz w:val="24"/>
          <w:lang w:eastAsia="cs-CZ"/>
        </w:rPr>
      </w:r>
    </w:p>
    <w:p>
      <w:pPr>
        <w:pBdr/>
        <w:spacing/>
        <w:ind/>
        <w:rPr>
          <w:rFonts w:ascii="Calibri" w:hAnsi="Calibri" w:eastAsia="Calibri" w:cs="Times New Roman"/>
        </w:rPr>
      </w:pPr>
      <w:r>
        <w:rPr>
          <w:rFonts w:ascii="Calibri" w:hAnsi="Calibri" w:eastAsia="Calibri" w:cs="Times New Roman"/>
        </w:rPr>
      </w:r>
      <w:r>
        <w:rPr>
          <w:rFonts w:ascii="Calibri" w:hAnsi="Calibri" w:eastAsia="Calibri" w:cs="Times New Roman"/>
        </w:rPr>
      </w:r>
      <w:r>
        <w:rPr>
          <w:rFonts w:ascii="Calibri" w:hAnsi="Calibri" w:eastAsia="Calibri" w:cs="Times New Roman"/>
        </w:rPr>
      </w:r>
    </w:p>
    <w:sectPr>
      <w:footerReference w:type="default" r:id="rId9"/>
      <w:footnotePr/>
      <w:endnotePr/>
      <w:type w:val="nextPage"/>
      <w:pgSz w:h="16838" w:orient="portrait" w:w="11906"/>
      <w:pgMar w:top="1418" w:right="1417" w:bottom="1135" w:left="1418" w:header="708" w:footer="553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9"/>
      <w:pBdr/>
      <w:spacing/>
      <w:ind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PAGE   \* MERGEFORMAT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</w:rPr>
      <w:t xml:space="preserve">2</w:t>
    </w:r>
    <w:r>
      <w:rPr>
        <w:caps/>
        <w:color w:val="4f81bd" w:themeColor="accent1"/>
      </w:rPr>
      <w:fldChar w:fldCharType="end"/>
    </w:r>
    <w:r>
      <w:rPr>
        <w:caps/>
        <w:color w:val="4f81bd" w:themeColor="accent1"/>
      </w:rPr>
    </w:r>
    <w:r>
      <w:rPr>
        <w:caps/>
        <w:color w:val="4f81bd" w:themeColor="accent1"/>
      </w:rPr>
    </w:r>
  </w:p>
  <w:p>
    <w:pPr>
      <w:pStyle w:val="94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  <w:footnote w:id="2">
    <w:p>
      <w:pPr>
        <w:pStyle w:val="945"/>
        <w:pBdr/>
        <w:spacing/>
        <w:ind/>
        <w:rPr>
          <w:rFonts w:ascii="Arial" w:hAnsi="Arial" w:cs="Arial"/>
        </w:rPr>
      </w:pPr>
      <w:r>
        <w:rPr>
          <w:rStyle w:val="947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</w:footnote>
  <w:footnote w:id="3">
    <w:p>
      <w:pPr>
        <w:pStyle w:val="945"/>
        <w:pBdr/>
        <w:spacing/>
        <w:ind/>
        <w:rPr/>
      </w:pPr>
      <w:r>
        <w:rPr>
          <w:rStyle w:val="947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)"/>
      <w:numFmt w:val="lowerLetter"/>
      <w:pPr>
        <w:pBdr/>
        <w:tabs>
          <w:tab w:val="num" w:leader="none" w:pos="360"/>
        </w:tabs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800"/>
        </w:tabs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3960"/>
        </w:tabs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680"/>
        </w:tabs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120"/>
        </w:tabs>
        <w:spacing/>
        <w:ind w:hanging="180" w:left="6120"/>
      </w:pPr>
      <w:rPr/>
      <w:start w:val="1"/>
      <w:suff w:val="tab"/>
    </w:lvl>
  </w:abstractNum>
  <w:abstractNum w:abstractNumId="1">
    <w:lvl w:ilvl="0">
      <w:isLgl w:val="false"/>
      <w:lvlJc w:val="left"/>
      <w:lvlText w:val="%1)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  <w:b w:val="0"/>
        <w:u w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800"/>
        </w:tabs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3960"/>
        </w:tabs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680"/>
        </w:tabs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120"/>
        </w:tabs>
        <w:spacing/>
        <w:ind w:hanging="180" w:left="6120"/>
      </w:pPr>
      <w:rPr/>
      <w:start w:val="1"/>
      <w:suff w:val="tab"/>
    </w:lvl>
  </w:abstractNum>
  <w:abstractNum w:abstractNumId="2">
    <w:lvl w:ilvl="0">
      <w:isLgl w:val="false"/>
      <w:lvlJc w:val="left"/>
      <w:lvlText w:val="(%1)"/>
      <w:numFmt w:val="decimal"/>
      <w:pPr>
        <w:pBdr/>
        <w:spacing/>
        <w:ind w:hanging="360" w:left="720"/>
      </w:pPr>
      <w:rPr>
        <w:rFonts w:hint="default"/>
        <w:b w:val="0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(%1)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)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)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)"/>
      <w:numFmt w:val="decimal"/>
      <w:pPr>
        <w:pBdr/>
        <w:spacing/>
        <w:ind w:hanging="360" w:left="360"/>
      </w:pPr>
      <w:rPr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0">
    <w:lvl w:ilvl="0">
      <w:isLgl w:val="false"/>
      <w:lvlJc w:val="left"/>
      <w:lvlText w:val="%1)"/>
      <w:numFmt w:val="decimal"/>
      <w:pPr>
        <w:pBdr/>
        <w:spacing/>
        <w:ind w:hanging="360" w:left="360"/>
      </w:pPr>
      <w:rPr>
        <w:rFonts w:hint="default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1">
    <w:lvl w:ilvl="0">
      <w:isLgl w:val="false"/>
      <w:lvlJc w:val="left"/>
      <w:lvlText w:val="%1)"/>
      <w:numFmt w:val="decimal"/>
      <w:pPr>
        <w:pBdr/>
        <w:spacing/>
        <w:ind w:hanging="705" w:left="1065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%1)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3">
    <w:lvl w:ilvl="0">
      <w:isLgl w:val="false"/>
      <w:lvlJc w:val="left"/>
      <w:lvlText w:val="%1)"/>
      <w:numFmt w:val="lowerLetter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5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strike w:val="0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9">
    <w:lvl w:ilvl="0">
      <w:isLgl w:val="false"/>
      <w:lvlJc w:val="left"/>
      <w:lvlText w:val="%1)"/>
      <w:numFmt w:val="lowerLetter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20">
    <w:lvl w:ilvl="0">
      <w:isLgl w:val="false"/>
      <w:lvlJc w:val="left"/>
      <w:lvlText w:val="(%1)"/>
      <w:numFmt w:val="decimal"/>
      <w:pPr>
        <w:pBdr/>
        <w:spacing/>
        <w:ind w:hanging="360" w:left="64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21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2">
    <w:lvl w:ilvl="0">
      <w:isLgl w:val="false"/>
      <w:lvlJc w:val="left"/>
      <w:lvlText/>
      <w:numFmt w:val="none"/>
      <w:pPr>
        <w:pBdr/>
        <w:tabs>
          <w:tab w:val="num" w:leader="none" w:pos="432"/>
        </w:tabs>
        <w:spacing/>
        <w:ind w:hanging="432" w:left="432"/>
      </w:pPr>
      <w:rPr/>
      <w:start w:val="1"/>
      <w:suff w:val="tab"/>
    </w:lvl>
    <w:lvl w:ilvl="1">
      <w:isLgl w:val="false"/>
      <w:lvlJc w:val="left"/>
      <w:lvlText/>
      <w:numFmt w:val="none"/>
      <w:pPr>
        <w:pBdr/>
        <w:tabs>
          <w:tab w:val="num" w:leader="none" w:pos="576"/>
        </w:tabs>
        <w:spacing/>
        <w:ind w:hanging="576" w:left="576"/>
      </w:pPr>
      <w:rPr/>
      <w:start w:val="1"/>
      <w:suff w:val="tab"/>
    </w:lvl>
    <w:lvl w:ilvl="2">
      <w:isLgl w:val="false"/>
      <w:lvlJc w:val="left"/>
      <w:lvlText/>
      <w:numFmt w:val="none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/>
      <w:numFmt w:val="none"/>
      <w:pPr>
        <w:pBdr/>
        <w:tabs>
          <w:tab w:val="num" w:leader="none" w:pos="864"/>
        </w:tabs>
        <w:spacing/>
        <w:ind w:hanging="864" w:left="864"/>
      </w:pPr>
      <w:rPr/>
      <w:start w:val="1"/>
      <w:suff w:val="tab"/>
    </w:lvl>
    <w:lvl w:ilvl="4">
      <w:isLgl w:val="false"/>
      <w:lvlJc w:val="left"/>
      <w:lvlText/>
      <w:numFmt w:val="none"/>
      <w:pPr>
        <w:pBdr/>
        <w:tabs>
          <w:tab w:val="num" w:leader="none" w:pos="1008"/>
        </w:tabs>
        <w:spacing/>
        <w:ind w:hanging="1008" w:left="1008"/>
      </w:pPr>
      <w:rPr/>
      <w:start w:val="1"/>
      <w:suff w:val="tab"/>
    </w:lvl>
    <w:lvl w:ilvl="5">
      <w:isLgl w:val="false"/>
      <w:lvlJc w:val="left"/>
      <w:lvlText/>
      <w:numFmt w:val="none"/>
      <w:pPr>
        <w:pBdr/>
        <w:tabs>
          <w:tab w:val="num" w:leader="none" w:pos="1152"/>
        </w:tabs>
        <w:spacing/>
        <w:ind w:hanging="1152" w:left="1152"/>
      </w:pPr>
      <w:rPr/>
      <w:start w:val="1"/>
      <w:suff w:val="tab"/>
    </w:lvl>
    <w:lvl w:ilvl="6">
      <w:isLgl w:val="false"/>
      <w:lvlJc w:val="left"/>
      <w:lvlText/>
      <w:numFmt w:val="none"/>
      <w:pPr>
        <w:pBdr/>
        <w:tabs>
          <w:tab w:val="num" w:leader="none" w:pos="1296"/>
        </w:tabs>
        <w:spacing/>
        <w:ind w:hanging="1296" w:left="1296"/>
      </w:pPr>
      <w:rPr/>
      <w:start w:val="1"/>
      <w:suff w:val="tab"/>
    </w:lvl>
    <w:lvl w:ilvl="7">
      <w:isLgl w:val="false"/>
      <w:lvlJc w:val="left"/>
      <w:lvlText/>
      <w:numFmt w:val="none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8">
      <w:isLgl w:val="false"/>
      <w:lvlJc w:val="left"/>
      <w:lvlText/>
      <w:numFmt w:val="none"/>
      <w:pPr>
        <w:pBdr/>
        <w:tabs>
          <w:tab w:val="num" w:leader="none" w:pos="1584"/>
        </w:tabs>
        <w:spacing/>
        <w:ind w:hanging="1584" w:left="1584"/>
      </w:pPr>
      <w:rPr/>
      <w:start w:val="1"/>
      <w:suff w:val="tab"/>
    </w:lvl>
  </w:abstractNum>
  <w:abstractNum w:abstractNumId="23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  <w:color w:val="000000" w:themeColor="text1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4"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5">
    <w:lvl w:ilvl="0">
      <w:isLgl w:val="false"/>
      <w:lvlJc w:val="left"/>
      <w:lvlText w:val="%1)"/>
      <w:numFmt w:val="lowerLetter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26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7">
    <w:lvl w:ilvl="0">
      <w:isLgl w:val="false"/>
      <w:lvlJc w:val="left"/>
      <w:lvlText w:val="%1)"/>
      <w:numFmt w:val="lowerLetter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28">
    <w:lvl w:ilvl="0">
      <w:isLgl w:val="false"/>
      <w:lvlJc w:val="left"/>
      <w:lvlText w:val="%1)"/>
      <w:numFmt w:val="lowerLetter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20"/>
  </w:num>
  <w:num w:numId="6">
    <w:abstractNumId w:val="13"/>
  </w:num>
  <w:num w:numId="7">
    <w:abstractNumId w:val="19"/>
  </w:num>
  <w:num w:numId="8">
    <w:abstractNumId w:val="21"/>
  </w:num>
  <w:num w:numId="9">
    <w:abstractNumId w:val="23"/>
  </w:num>
  <w:num w:numId="10">
    <w:abstractNumId w:val="22"/>
  </w:num>
  <w:num w:numId="11">
    <w:abstractNumId w:val="2"/>
  </w:num>
  <w:num w:numId="12">
    <w:abstractNumId w:val="16"/>
  </w:num>
  <w:num w:numId="13">
    <w:abstractNumId w:val="12"/>
  </w:num>
  <w:num w:numId="14">
    <w:abstractNumId w:val="1"/>
  </w:num>
  <w:num w:numId="15">
    <w:abstractNumId w:val="10"/>
  </w:num>
  <w:num w:numId="16">
    <w:abstractNumId w:val="15"/>
  </w:num>
  <w:num w:numId="17">
    <w:abstractNumId w:val="3"/>
  </w:num>
  <w:num w:numId="18">
    <w:abstractNumId w:val="11"/>
  </w:num>
  <w:num w:numId="19">
    <w:abstractNumId w:val="24"/>
  </w:num>
  <w:num w:numId="20">
    <w:abstractNumId w:val="17"/>
  </w:num>
  <w:num w:numId="21">
    <w:abstractNumId w:val="4"/>
  </w:num>
  <w:num w:numId="22">
    <w:abstractNumId w:val="7"/>
  </w:num>
  <w:num w:numId="23">
    <w:abstractNumId w:val="18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4">
    <w:name w:val="Heading 1 Char"/>
    <w:basedOn w:val="778"/>
    <w:link w:val="76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5">
    <w:name w:val="Heading 2 Char"/>
    <w:basedOn w:val="778"/>
    <w:link w:val="77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6">
    <w:name w:val="Heading 3 Char"/>
    <w:basedOn w:val="778"/>
    <w:link w:val="77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57">
    <w:name w:val="Heading 4 Char"/>
    <w:basedOn w:val="778"/>
    <w:link w:val="77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8">
    <w:name w:val="Heading 5 Char"/>
    <w:basedOn w:val="778"/>
    <w:link w:val="77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9">
    <w:name w:val="Heading 6 Char"/>
    <w:basedOn w:val="778"/>
    <w:link w:val="77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0">
    <w:name w:val="Heading 7 Char"/>
    <w:basedOn w:val="778"/>
    <w:link w:val="77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1">
    <w:name w:val="Heading 8 Char"/>
    <w:basedOn w:val="778"/>
    <w:link w:val="77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62">
    <w:name w:val="Heading 9 Char"/>
    <w:basedOn w:val="778"/>
    <w:link w:val="77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63">
    <w:name w:val="Title Char"/>
    <w:basedOn w:val="778"/>
    <w:link w:val="790"/>
    <w:uiPriority w:val="10"/>
    <w:pPr>
      <w:pBdr/>
      <w:spacing/>
      <w:ind/>
    </w:pPr>
    <w:rPr>
      <w:sz w:val="48"/>
      <w:szCs w:val="48"/>
    </w:rPr>
  </w:style>
  <w:style w:type="character" w:styleId="764">
    <w:name w:val="Subtitle Char"/>
    <w:basedOn w:val="778"/>
    <w:link w:val="792"/>
    <w:uiPriority w:val="11"/>
    <w:pPr>
      <w:pBdr/>
      <w:spacing/>
      <w:ind/>
    </w:pPr>
    <w:rPr>
      <w:sz w:val="24"/>
      <w:szCs w:val="24"/>
    </w:rPr>
  </w:style>
  <w:style w:type="character" w:styleId="765">
    <w:name w:val="Quote Char"/>
    <w:link w:val="794"/>
    <w:uiPriority w:val="29"/>
    <w:pPr>
      <w:pBdr/>
      <w:spacing/>
      <w:ind/>
    </w:pPr>
    <w:rPr>
      <w:i/>
    </w:rPr>
  </w:style>
  <w:style w:type="character" w:styleId="766">
    <w:name w:val="Intense Quote Char"/>
    <w:link w:val="796"/>
    <w:uiPriority w:val="30"/>
    <w:pPr>
      <w:pBdr/>
      <w:spacing/>
      <w:ind/>
    </w:pPr>
    <w:rPr>
      <w:i/>
    </w:rPr>
  </w:style>
  <w:style w:type="character" w:styleId="767">
    <w:name w:val="Endnote Text Char"/>
    <w:link w:val="930"/>
    <w:uiPriority w:val="99"/>
    <w:pPr>
      <w:pBdr/>
      <w:spacing/>
      <w:ind/>
    </w:pPr>
    <w:rPr>
      <w:sz w:val="20"/>
    </w:rPr>
  </w:style>
  <w:style w:type="paragraph" w:styleId="768" w:default="1">
    <w:name w:val="Normal"/>
    <w:qFormat/>
    <w:pPr>
      <w:pBdr/>
      <w:spacing/>
      <w:ind/>
    </w:pPr>
  </w:style>
  <w:style w:type="paragraph" w:styleId="769">
    <w:name w:val="Heading 1"/>
    <w:basedOn w:val="768"/>
    <w:next w:val="768"/>
    <w:link w:val="781"/>
    <w:uiPriority w:val="9"/>
    <w:qFormat/>
    <w:pPr>
      <w:keepNext w:val="true"/>
      <w:keepLines w:val="true"/>
      <w:pBdr/>
      <w:spacing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70">
    <w:name w:val="Heading 2"/>
    <w:basedOn w:val="768"/>
    <w:next w:val="768"/>
    <w:link w:val="782"/>
    <w:uiPriority w:val="9"/>
    <w:unhideWhenUsed/>
    <w:qFormat/>
    <w:pPr>
      <w:keepNext w:val="true"/>
      <w:keepLines w:val="true"/>
      <w:pBdr/>
      <w:spacing w:before="360"/>
      <w:ind/>
      <w:outlineLvl w:val="1"/>
    </w:pPr>
    <w:rPr>
      <w:rFonts w:ascii="Arial" w:hAnsi="Arial" w:eastAsia="Arial" w:cs="Arial"/>
      <w:sz w:val="34"/>
    </w:rPr>
  </w:style>
  <w:style w:type="paragraph" w:styleId="771">
    <w:name w:val="Heading 3"/>
    <w:basedOn w:val="768"/>
    <w:next w:val="768"/>
    <w:link w:val="783"/>
    <w:uiPriority w:val="9"/>
    <w:unhideWhenUsed/>
    <w:qFormat/>
    <w:pPr>
      <w:keepNext w:val="true"/>
      <w:keepLines w:val="true"/>
      <w:pBdr/>
      <w:spacing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72">
    <w:name w:val="Heading 4"/>
    <w:basedOn w:val="768"/>
    <w:next w:val="768"/>
    <w:link w:val="784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73">
    <w:name w:val="Heading 5"/>
    <w:basedOn w:val="768"/>
    <w:next w:val="768"/>
    <w:link w:val="785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74">
    <w:name w:val="Heading 6"/>
    <w:basedOn w:val="768"/>
    <w:next w:val="768"/>
    <w:link w:val="786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rFonts w:ascii="Arial" w:hAnsi="Arial" w:eastAsia="Arial" w:cs="Arial"/>
      <w:b/>
      <w:bCs/>
    </w:rPr>
  </w:style>
  <w:style w:type="paragraph" w:styleId="775">
    <w:name w:val="Heading 7"/>
    <w:basedOn w:val="768"/>
    <w:next w:val="768"/>
    <w:link w:val="787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76">
    <w:name w:val="Heading 8"/>
    <w:basedOn w:val="768"/>
    <w:next w:val="768"/>
    <w:link w:val="788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rFonts w:ascii="Arial" w:hAnsi="Arial" w:eastAsia="Arial" w:cs="Arial"/>
      <w:i/>
      <w:iCs/>
    </w:rPr>
  </w:style>
  <w:style w:type="paragraph" w:styleId="777">
    <w:name w:val="Heading 9"/>
    <w:basedOn w:val="768"/>
    <w:next w:val="768"/>
    <w:link w:val="789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8" w:default="1">
    <w:name w:val="Default Paragraph Font"/>
    <w:uiPriority w:val="1"/>
    <w:semiHidden/>
    <w:unhideWhenUsed/>
    <w:pPr>
      <w:pBdr/>
      <w:spacing/>
      <w:ind/>
    </w:pPr>
  </w:style>
  <w:style w:type="table" w:styleId="77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80" w:default="1">
    <w:name w:val="No List"/>
    <w:uiPriority w:val="99"/>
    <w:semiHidden/>
    <w:unhideWhenUsed/>
    <w:pPr>
      <w:pBdr/>
      <w:spacing/>
      <w:ind/>
    </w:pPr>
  </w:style>
  <w:style w:type="character" w:styleId="781" w:customStyle="1">
    <w:name w:val="Nadpis 1 Char"/>
    <w:basedOn w:val="778"/>
    <w:link w:val="76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82" w:customStyle="1">
    <w:name w:val="Nadpis 2 Char"/>
    <w:basedOn w:val="778"/>
    <w:link w:val="77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83" w:customStyle="1">
    <w:name w:val="Nadpis 3 Char"/>
    <w:basedOn w:val="778"/>
    <w:link w:val="77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84" w:customStyle="1">
    <w:name w:val="Nadpis 4 Char"/>
    <w:basedOn w:val="778"/>
    <w:link w:val="77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85" w:customStyle="1">
    <w:name w:val="Nadpis 5 Char"/>
    <w:basedOn w:val="778"/>
    <w:link w:val="77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86" w:customStyle="1">
    <w:name w:val="Nadpis 6 Char"/>
    <w:basedOn w:val="778"/>
    <w:link w:val="77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87" w:customStyle="1">
    <w:name w:val="Nadpis 7 Char"/>
    <w:basedOn w:val="778"/>
    <w:link w:val="77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8" w:customStyle="1">
    <w:name w:val="Nadpis 8 Char"/>
    <w:basedOn w:val="778"/>
    <w:link w:val="77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89" w:customStyle="1">
    <w:name w:val="Nadpis 9 Char"/>
    <w:basedOn w:val="778"/>
    <w:link w:val="77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90">
    <w:name w:val="Title"/>
    <w:basedOn w:val="768"/>
    <w:next w:val="768"/>
    <w:link w:val="791"/>
    <w:uiPriority w:val="10"/>
    <w:qFormat/>
    <w:pPr>
      <w:pBdr/>
      <w:spacing w:before="300"/>
      <w:ind/>
      <w:contextualSpacing w:val="true"/>
    </w:pPr>
    <w:rPr>
      <w:sz w:val="48"/>
      <w:szCs w:val="48"/>
    </w:rPr>
  </w:style>
  <w:style w:type="character" w:styleId="791" w:customStyle="1">
    <w:name w:val="Název Char"/>
    <w:basedOn w:val="778"/>
    <w:link w:val="790"/>
    <w:uiPriority w:val="10"/>
    <w:pPr>
      <w:pBdr/>
      <w:spacing/>
      <w:ind/>
    </w:pPr>
    <w:rPr>
      <w:sz w:val="48"/>
      <w:szCs w:val="48"/>
    </w:rPr>
  </w:style>
  <w:style w:type="paragraph" w:styleId="792">
    <w:name w:val="Subtitle"/>
    <w:basedOn w:val="768"/>
    <w:next w:val="768"/>
    <w:link w:val="793"/>
    <w:uiPriority w:val="11"/>
    <w:qFormat/>
    <w:pPr>
      <w:pBdr/>
      <w:spacing w:before="200"/>
      <w:ind/>
    </w:pPr>
    <w:rPr>
      <w:sz w:val="24"/>
      <w:szCs w:val="24"/>
    </w:rPr>
  </w:style>
  <w:style w:type="character" w:styleId="793" w:customStyle="1">
    <w:name w:val="Podnadpis Char"/>
    <w:basedOn w:val="778"/>
    <w:link w:val="792"/>
    <w:uiPriority w:val="11"/>
    <w:pPr>
      <w:pBdr/>
      <w:spacing/>
      <w:ind/>
    </w:pPr>
    <w:rPr>
      <w:sz w:val="24"/>
      <w:szCs w:val="24"/>
    </w:rPr>
  </w:style>
  <w:style w:type="paragraph" w:styleId="794">
    <w:name w:val="Quote"/>
    <w:basedOn w:val="768"/>
    <w:next w:val="768"/>
    <w:link w:val="795"/>
    <w:uiPriority w:val="29"/>
    <w:qFormat/>
    <w:pPr>
      <w:pBdr/>
      <w:spacing/>
      <w:ind w:right="720" w:left="720"/>
    </w:pPr>
    <w:rPr>
      <w:i/>
    </w:rPr>
  </w:style>
  <w:style w:type="character" w:styleId="795" w:customStyle="1">
    <w:name w:val="Citát Char"/>
    <w:link w:val="794"/>
    <w:uiPriority w:val="29"/>
    <w:pPr>
      <w:pBdr/>
      <w:spacing/>
      <w:ind/>
    </w:pPr>
    <w:rPr>
      <w:i/>
    </w:rPr>
  </w:style>
  <w:style w:type="paragraph" w:styleId="796">
    <w:name w:val="Intense Quote"/>
    <w:basedOn w:val="768"/>
    <w:next w:val="768"/>
    <w:link w:val="79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97" w:customStyle="1">
    <w:name w:val="Výrazný citát Char"/>
    <w:link w:val="796"/>
    <w:uiPriority w:val="30"/>
    <w:pPr>
      <w:pBdr/>
      <w:spacing/>
      <w:ind/>
    </w:pPr>
    <w:rPr>
      <w:i/>
    </w:rPr>
  </w:style>
  <w:style w:type="character" w:styleId="798" w:customStyle="1">
    <w:name w:val="Header Char"/>
    <w:basedOn w:val="778"/>
    <w:uiPriority w:val="99"/>
    <w:pPr>
      <w:pBdr/>
      <w:spacing/>
      <w:ind/>
    </w:pPr>
  </w:style>
  <w:style w:type="character" w:styleId="799" w:customStyle="1">
    <w:name w:val="Footer Char"/>
    <w:basedOn w:val="778"/>
    <w:uiPriority w:val="99"/>
    <w:pPr>
      <w:pBdr/>
      <w:spacing/>
      <w:ind/>
    </w:pPr>
  </w:style>
  <w:style w:type="paragraph" w:styleId="800">
    <w:name w:val="Caption"/>
    <w:basedOn w:val="768"/>
    <w:next w:val="768"/>
    <w:uiPriority w:val="35"/>
    <w:semiHidden/>
    <w:unhideWhenUsed/>
    <w:qFormat/>
    <w:pPr>
      <w:pBdr/>
      <w:spacing/>
      <w:ind/>
    </w:pPr>
    <w:rPr>
      <w:b/>
      <w:bCs/>
      <w:color w:val="4f81bd" w:themeColor="accent1"/>
      <w:sz w:val="18"/>
      <w:szCs w:val="18"/>
    </w:rPr>
  </w:style>
  <w:style w:type="character" w:styleId="801" w:customStyle="1">
    <w:name w:val="Caption Char"/>
    <w:uiPriority w:val="99"/>
    <w:pPr>
      <w:pBdr/>
      <w:spacing/>
      <w:ind/>
    </w:pPr>
  </w:style>
  <w:style w:type="table" w:styleId="802">
    <w:name w:val="Table Grid"/>
    <w:basedOn w:val="779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Table Grid Light"/>
    <w:basedOn w:val="77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Plain Table 1"/>
    <w:basedOn w:val="77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Plain Table 2"/>
    <w:basedOn w:val="779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Plain Table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Plain Table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Plain Table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1 Light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1 Light 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1 Light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1 Light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1 Light 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1 Light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1 Light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2 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2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2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2 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2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2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3 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3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3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3 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3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3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4"/>
    <w:basedOn w:val="77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4 - Accent 1"/>
    <w:basedOn w:val="77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4 - Accent 2"/>
    <w:basedOn w:val="77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4 - Accent 3"/>
    <w:basedOn w:val="77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4 - Accent 4"/>
    <w:basedOn w:val="77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4 - Accent 5"/>
    <w:basedOn w:val="77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4 - Accent 6"/>
    <w:basedOn w:val="77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5 Dark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5 Dark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5 Dark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5 Dark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5 Dark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5 Dark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5 Dark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6 Colorful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6 Colorful 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6 Colorful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6 Colorful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6 Colorful 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6 Colorful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6 Colorful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7 Colorful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7 Colorful 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7 Colorful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7 Colorful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7 Colorful 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7 Colorful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7 Colorful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1 Light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1 Light 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1 Light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1 Light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1 Light 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1 Light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1 Light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2 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2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2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2 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2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2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3 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3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3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3 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3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3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4 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4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4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4 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4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4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5 Dark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5 Dark 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5 Dark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5 Dark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5 Dark 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5 Dark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5 Dark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6 Colorful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6 Colorful 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6 Colorful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6 Colorful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6 Colorful 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6 Colorful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6 Colorful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7 Colorful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7 Colorful 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7 Colorful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7 Colorful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7 Colorful 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7 Colorful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7 Colorful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ned - Accent"/>
    <w:basedOn w:val="779"/>
    <w:uiPriority w:val="99"/>
    <w:pPr>
      <w:pBdr/>
      <w:spacing w:after="0" w:line="240" w:lineRule="auto"/>
      <w:ind/>
    </w:pPr>
    <w:rPr>
      <w:color w:val="404040"/>
      <w:sz w:val="20"/>
      <w:szCs w:val="20"/>
      <w:lang w:eastAsia="cs-CZ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ned - Accent 1"/>
    <w:basedOn w:val="779"/>
    <w:uiPriority w:val="99"/>
    <w:pPr>
      <w:pBdr/>
      <w:spacing w:after="0" w:line="240" w:lineRule="auto"/>
      <w:ind/>
    </w:pPr>
    <w:rPr>
      <w:color w:val="404040"/>
      <w:sz w:val="20"/>
      <w:szCs w:val="20"/>
      <w:lang w:eastAsia="cs-CZ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ned - Accent 2"/>
    <w:basedOn w:val="779"/>
    <w:uiPriority w:val="99"/>
    <w:pPr>
      <w:pBdr/>
      <w:spacing w:after="0" w:line="240" w:lineRule="auto"/>
      <w:ind/>
    </w:pPr>
    <w:rPr>
      <w:color w:val="404040"/>
      <w:sz w:val="20"/>
      <w:szCs w:val="20"/>
      <w:lang w:eastAsia="cs-CZ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ned - Accent 3"/>
    <w:basedOn w:val="779"/>
    <w:uiPriority w:val="99"/>
    <w:pPr>
      <w:pBdr/>
      <w:spacing w:after="0" w:line="240" w:lineRule="auto"/>
      <w:ind/>
    </w:pPr>
    <w:rPr>
      <w:color w:val="404040"/>
      <w:sz w:val="20"/>
      <w:szCs w:val="20"/>
      <w:lang w:eastAsia="cs-CZ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ned - Accent 4"/>
    <w:basedOn w:val="779"/>
    <w:uiPriority w:val="99"/>
    <w:pPr>
      <w:pBdr/>
      <w:spacing w:after="0" w:line="240" w:lineRule="auto"/>
      <w:ind/>
    </w:pPr>
    <w:rPr>
      <w:color w:val="404040"/>
      <w:sz w:val="20"/>
      <w:szCs w:val="20"/>
      <w:lang w:eastAsia="cs-CZ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ned - Accent 5"/>
    <w:basedOn w:val="779"/>
    <w:uiPriority w:val="99"/>
    <w:pPr>
      <w:pBdr/>
      <w:spacing w:after="0" w:line="240" w:lineRule="auto"/>
      <w:ind/>
    </w:pPr>
    <w:rPr>
      <w:color w:val="404040"/>
      <w:sz w:val="20"/>
      <w:szCs w:val="20"/>
      <w:lang w:eastAsia="cs-CZ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ned - Accent 6"/>
    <w:basedOn w:val="779"/>
    <w:uiPriority w:val="99"/>
    <w:pPr>
      <w:pBdr/>
      <w:spacing w:after="0" w:line="240" w:lineRule="auto"/>
      <w:ind/>
    </w:pPr>
    <w:rPr>
      <w:color w:val="404040"/>
      <w:sz w:val="20"/>
      <w:szCs w:val="20"/>
      <w:lang w:eastAsia="cs-CZ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&amp; Lined - Accent"/>
    <w:basedOn w:val="779"/>
    <w:uiPriority w:val="99"/>
    <w:pPr>
      <w:pBdr/>
      <w:spacing w:after="0" w:line="240" w:lineRule="auto"/>
      <w:ind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&amp; Lined - Accent 1"/>
    <w:basedOn w:val="779"/>
    <w:uiPriority w:val="99"/>
    <w:pPr>
      <w:pBdr/>
      <w:spacing w:after="0" w:line="240" w:lineRule="auto"/>
      <w:ind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&amp; Lined - Accent 2"/>
    <w:basedOn w:val="779"/>
    <w:uiPriority w:val="99"/>
    <w:pPr>
      <w:pBdr/>
      <w:spacing w:after="0" w:line="240" w:lineRule="auto"/>
      <w:ind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&amp; Lined - Accent 3"/>
    <w:basedOn w:val="779"/>
    <w:uiPriority w:val="99"/>
    <w:pPr>
      <w:pBdr/>
      <w:spacing w:after="0" w:line="240" w:lineRule="auto"/>
      <w:ind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&amp; Lined - Accent 4"/>
    <w:basedOn w:val="779"/>
    <w:uiPriority w:val="99"/>
    <w:pPr>
      <w:pBdr/>
      <w:spacing w:after="0" w:line="240" w:lineRule="auto"/>
      <w:ind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&amp; Lined - Accent 5"/>
    <w:basedOn w:val="779"/>
    <w:uiPriority w:val="99"/>
    <w:pPr>
      <w:pBdr/>
      <w:spacing w:after="0" w:line="240" w:lineRule="auto"/>
      <w:ind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&amp; Lined - Accent 6"/>
    <w:basedOn w:val="779"/>
    <w:uiPriority w:val="99"/>
    <w:pPr>
      <w:pBdr/>
      <w:spacing w:after="0" w:line="240" w:lineRule="auto"/>
      <w:ind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- Accent 1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Bordered - Accent 2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Bordered - Accent 3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Bordered - Accent 4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Bordered - Accent 5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Bordered - Accent 6"/>
    <w:basedOn w:val="77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8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929" w:customStyle="1">
    <w:name w:val="Footnote Text Char"/>
    <w:uiPriority w:val="99"/>
    <w:pPr>
      <w:pBdr/>
      <w:spacing/>
      <w:ind/>
    </w:pPr>
    <w:rPr>
      <w:sz w:val="18"/>
    </w:rPr>
  </w:style>
  <w:style w:type="paragraph" w:styleId="930">
    <w:name w:val="endnote text"/>
    <w:basedOn w:val="768"/>
    <w:link w:val="931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31" w:customStyle="1">
    <w:name w:val="Text vysvětlivek Char"/>
    <w:link w:val="930"/>
    <w:uiPriority w:val="99"/>
    <w:pPr>
      <w:pBdr/>
      <w:spacing/>
      <w:ind/>
    </w:pPr>
    <w:rPr>
      <w:sz w:val="20"/>
    </w:rPr>
  </w:style>
  <w:style w:type="character" w:styleId="932">
    <w:name w:val="endnote reference"/>
    <w:basedOn w:val="778"/>
    <w:uiPriority w:val="99"/>
    <w:semiHidden/>
    <w:unhideWhenUsed/>
    <w:pPr>
      <w:pBdr/>
      <w:spacing/>
      <w:ind/>
    </w:pPr>
    <w:rPr>
      <w:vertAlign w:val="superscript"/>
    </w:rPr>
  </w:style>
  <w:style w:type="paragraph" w:styleId="933">
    <w:name w:val="toc 1"/>
    <w:basedOn w:val="768"/>
    <w:next w:val="768"/>
    <w:uiPriority w:val="39"/>
    <w:unhideWhenUsed/>
    <w:pPr>
      <w:pBdr/>
      <w:spacing w:after="57"/>
      <w:ind/>
    </w:pPr>
  </w:style>
  <w:style w:type="paragraph" w:styleId="934">
    <w:name w:val="toc 2"/>
    <w:basedOn w:val="768"/>
    <w:next w:val="768"/>
    <w:uiPriority w:val="39"/>
    <w:unhideWhenUsed/>
    <w:pPr>
      <w:pBdr/>
      <w:spacing w:after="57"/>
      <w:ind w:left="283"/>
    </w:pPr>
  </w:style>
  <w:style w:type="paragraph" w:styleId="935">
    <w:name w:val="toc 3"/>
    <w:basedOn w:val="768"/>
    <w:next w:val="768"/>
    <w:uiPriority w:val="39"/>
    <w:unhideWhenUsed/>
    <w:pPr>
      <w:pBdr/>
      <w:spacing w:after="57"/>
      <w:ind w:left="567"/>
    </w:pPr>
  </w:style>
  <w:style w:type="paragraph" w:styleId="936">
    <w:name w:val="toc 4"/>
    <w:basedOn w:val="768"/>
    <w:next w:val="768"/>
    <w:uiPriority w:val="39"/>
    <w:unhideWhenUsed/>
    <w:pPr>
      <w:pBdr/>
      <w:spacing w:after="57"/>
      <w:ind w:left="850"/>
    </w:pPr>
  </w:style>
  <w:style w:type="paragraph" w:styleId="937">
    <w:name w:val="toc 5"/>
    <w:basedOn w:val="768"/>
    <w:next w:val="768"/>
    <w:uiPriority w:val="39"/>
    <w:unhideWhenUsed/>
    <w:pPr>
      <w:pBdr/>
      <w:spacing w:after="57"/>
      <w:ind w:left="1134"/>
    </w:pPr>
  </w:style>
  <w:style w:type="paragraph" w:styleId="938">
    <w:name w:val="toc 6"/>
    <w:basedOn w:val="768"/>
    <w:next w:val="768"/>
    <w:uiPriority w:val="39"/>
    <w:unhideWhenUsed/>
    <w:pPr>
      <w:pBdr/>
      <w:spacing w:after="57"/>
      <w:ind w:left="1417"/>
    </w:pPr>
  </w:style>
  <w:style w:type="paragraph" w:styleId="939">
    <w:name w:val="toc 7"/>
    <w:basedOn w:val="768"/>
    <w:next w:val="768"/>
    <w:uiPriority w:val="39"/>
    <w:unhideWhenUsed/>
    <w:pPr>
      <w:pBdr/>
      <w:spacing w:after="57"/>
      <w:ind w:left="1701"/>
    </w:pPr>
  </w:style>
  <w:style w:type="paragraph" w:styleId="940">
    <w:name w:val="toc 8"/>
    <w:basedOn w:val="768"/>
    <w:next w:val="768"/>
    <w:uiPriority w:val="39"/>
    <w:unhideWhenUsed/>
    <w:pPr>
      <w:pBdr/>
      <w:spacing w:after="57"/>
      <w:ind w:left="1984"/>
    </w:pPr>
  </w:style>
  <w:style w:type="paragraph" w:styleId="941">
    <w:name w:val="toc 9"/>
    <w:basedOn w:val="768"/>
    <w:next w:val="768"/>
    <w:uiPriority w:val="39"/>
    <w:unhideWhenUsed/>
    <w:pPr>
      <w:pBdr/>
      <w:spacing w:after="57"/>
      <w:ind w:left="2268"/>
    </w:pPr>
  </w:style>
  <w:style w:type="paragraph" w:styleId="942">
    <w:name w:val="TOC Heading"/>
    <w:uiPriority w:val="39"/>
    <w:unhideWhenUsed/>
    <w:pPr>
      <w:pBdr/>
      <w:spacing/>
      <w:ind/>
    </w:pPr>
  </w:style>
  <w:style w:type="paragraph" w:styleId="943">
    <w:name w:val="table of figures"/>
    <w:basedOn w:val="768"/>
    <w:next w:val="768"/>
    <w:uiPriority w:val="99"/>
    <w:unhideWhenUsed/>
    <w:pPr>
      <w:pBdr/>
      <w:spacing w:after="0"/>
      <w:ind/>
    </w:pPr>
  </w:style>
  <w:style w:type="paragraph" w:styleId="944">
    <w:name w:val="No Spacing"/>
    <w:uiPriority w:val="1"/>
    <w:qFormat/>
    <w:pPr>
      <w:pBdr/>
      <w:spacing w:after="0" w:line="240" w:lineRule="auto"/>
      <w:ind/>
    </w:pPr>
    <w:rPr>
      <w:rFonts w:eastAsia="Times New Roman" w:cs="Times New Roman"/>
    </w:rPr>
  </w:style>
  <w:style w:type="paragraph" w:styleId="945">
    <w:name w:val="footnote text"/>
    <w:basedOn w:val="768"/>
    <w:link w:val="946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6" w:customStyle="1">
    <w:name w:val="Text pozn. pod čarou Char"/>
    <w:basedOn w:val="778"/>
    <w:link w:val="945"/>
    <w:uiPriority w:val="99"/>
    <w:semiHidden/>
    <w:pPr>
      <w:pBdr/>
      <w:spacing/>
      <w:ind/>
    </w:pPr>
    <w:rPr>
      <w:sz w:val="20"/>
      <w:szCs w:val="20"/>
    </w:rPr>
  </w:style>
  <w:style w:type="character" w:styleId="947">
    <w:name w:val="footnote reference"/>
    <w:basedOn w:val="778"/>
    <w:semiHidden/>
    <w:pPr>
      <w:pBdr/>
      <w:spacing/>
      <w:ind/>
    </w:pPr>
    <w:rPr>
      <w:vertAlign w:val="superscript"/>
    </w:rPr>
  </w:style>
  <w:style w:type="character" w:styleId="948" w:customStyle="1">
    <w:name w:val="Znaky pro poznámku pod čarou"/>
    <w:basedOn w:val="778"/>
    <w:pPr>
      <w:pBdr/>
      <w:spacing/>
      <w:ind/>
    </w:pPr>
    <w:rPr>
      <w:vertAlign w:val="superscript"/>
    </w:rPr>
  </w:style>
  <w:style w:type="paragraph" w:styleId="949">
    <w:name w:val="Footer"/>
    <w:basedOn w:val="768"/>
    <w:link w:val="95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50" w:customStyle="1">
    <w:name w:val="Zápatí Char"/>
    <w:basedOn w:val="778"/>
    <w:link w:val="949"/>
    <w:uiPriority w:val="99"/>
    <w:pPr>
      <w:pBdr/>
      <w:spacing/>
      <w:ind/>
    </w:pPr>
  </w:style>
  <w:style w:type="paragraph" w:styleId="951">
    <w:name w:val="List Paragraph"/>
    <w:basedOn w:val="768"/>
    <w:uiPriority w:val="34"/>
    <w:qFormat/>
    <w:pPr>
      <w:pBdr/>
      <w:spacing/>
      <w:ind w:left="720"/>
      <w:contextualSpacing w:val="true"/>
    </w:pPr>
  </w:style>
  <w:style w:type="paragraph" w:styleId="952">
    <w:name w:val="Balloon Text"/>
    <w:basedOn w:val="768"/>
    <w:link w:val="953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53" w:customStyle="1">
    <w:name w:val="Text bubliny Char"/>
    <w:basedOn w:val="778"/>
    <w:link w:val="95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54">
    <w:name w:val="Header"/>
    <w:basedOn w:val="768"/>
    <w:link w:val="955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55" w:customStyle="1">
    <w:name w:val="Záhlaví Char"/>
    <w:basedOn w:val="778"/>
    <w:link w:val="954"/>
    <w:uiPriority w:val="99"/>
    <w:pPr>
      <w:pBdr/>
      <w:spacing/>
      <w:ind/>
    </w:pPr>
  </w:style>
  <w:style w:type="paragraph" w:styleId="956">
    <w:name w:val="Body Text Indent"/>
    <w:basedOn w:val="768"/>
    <w:link w:val="957"/>
    <w:pPr>
      <w:pBdr/>
      <w:spacing w:after="0" w:line="240" w:lineRule="auto"/>
      <w:ind w:firstLine="357" w:left="708"/>
      <w:jc w:val="both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957" w:customStyle="1">
    <w:name w:val="Základní text odsazený Char"/>
    <w:basedOn w:val="778"/>
    <w:link w:val="956"/>
    <w:pPr>
      <w:pBdr/>
      <w:spacing/>
      <w:ind/>
    </w:pPr>
    <w:rPr>
      <w:rFonts w:ascii="Times New Roman" w:hAnsi="Times New Roman" w:eastAsia="Times New Roman" w:cs="Times New Roman"/>
      <w:sz w:val="24"/>
      <w:szCs w:val="20"/>
      <w:lang w:eastAsia="cs-CZ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CEB0B-FD62-492F-B5F1-B7F484195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MVČR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Jaromír</dc:creator>
  <cp:revision>10</cp:revision>
  <dcterms:created xsi:type="dcterms:W3CDTF">2025-03-18T06:42:00Z</dcterms:created>
  <dcterms:modified xsi:type="dcterms:W3CDTF">2025-05-21T14:59:45Z</dcterms:modified>
</cp:coreProperties>
</file>