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125A8B" w:rsidRPr="002E0EAD" w:rsidRDefault="00125A8B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6E7D">
        <w:rPr>
          <w:rFonts w:ascii="Arial" w:hAnsi="Arial" w:cs="Arial"/>
          <w:b/>
        </w:rPr>
        <w:t xml:space="preserve">Blatnice pod Svatým </w:t>
      </w:r>
      <w:proofErr w:type="spellStart"/>
      <w:r w:rsidR="00F96E7D">
        <w:rPr>
          <w:rFonts w:ascii="Arial" w:hAnsi="Arial" w:cs="Arial"/>
          <w:b/>
        </w:rPr>
        <w:t>Antonínkem</w:t>
      </w:r>
      <w:proofErr w:type="spellEnd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6E7D">
        <w:rPr>
          <w:rFonts w:ascii="Arial" w:hAnsi="Arial" w:cs="Arial"/>
          <w:b/>
        </w:rPr>
        <w:t xml:space="preserve">Blatnice pod Svatým </w:t>
      </w:r>
      <w:proofErr w:type="spellStart"/>
      <w:r w:rsidR="00F96E7D">
        <w:rPr>
          <w:rFonts w:ascii="Arial" w:hAnsi="Arial" w:cs="Arial"/>
          <w:b/>
        </w:rPr>
        <w:t>Antonínkem</w:t>
      </w:r>
      <w:proofErr w:type="spellEnd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96E7D">
        <w:rPr>
          <w:rFonts w:ascii="Arial" w:hAnsi="Arial" w:cs="Arial"/>
          <w:b/>
        </w:rPr>
        <w:t xml:space="preserve"> Blatnice pod Svatým </w:t>
      </w:r>
      <w:proofErr w:type="spellStart"/>
      <w:r w:rsidR="00F96E7D">
        <w:rPr>
          <w:rFonts w:ascii="Arial" w:hAnsi="Arial" w:cs="Arial"/>
          <w:b/>
        </w:rPr>
        <w:t>Antonínkem</w:t>
      </w:r>
      <w:proofErr w:type="spellEnd"/>
      <w:r w:rsidR="00F96E7D">
        <w:rPr>
          <w:rFonts w:ascii="Arial" w:hAnsi="Arial" w:cs="Arial"/>
          <w:b/>
        </w:rPr>
        <w:t xml:space="preserve"> č. 1/2021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F96E7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96E7D">
        <w:rPr>
          <w:rFonts w:ascii="Arial" w:hAnsi="Arial" w:cs="Arial"/>
          <w:b w:val="0"/>
          <w:sz w:val="22"/>
          <w:szCs w:val="22"/>
        </w:rPr>
        <w:t xml:space="preserve"> Blatnice pod Svatým </w:t>
      </w:r>
      <w:proofErr w:type="spellStart"/>
      <w:r w:rsidR="00F96E7D">
        <w:rPr>
          <w:rFonts w:ascii="Arial" w:hAnsi="Arial" w:cs="Arial"/>
          <w:b w:val="0"/>
          <w:sz w:val="22"/>
          <w:szCs w:val="22"/>
        </w:rPr>
        <w:t>Antonínkem</w:t>
      </w:r>
      <w:proofErr w:type="spellEnd"/>
      <w:r w:rsidR="00F96E7D">
        <w:rPr>
          <w:rFonts w:ascii="Arial" w:hAnsi="Arial" w:cs="Arial"/>
          <w:b w:val="0"/>
          <w:sz w:val="22"/>
          <w:szCs w:val="22"/>
        </w:rPr>
        <w:t xml:space="preserve"> </w:t>
      </w:r>
      <w:r w:rsidR="00322EA3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322EA3">
        <w:rPr>
          <w:rFonts w:ascii="Arial" w:hAnsi="Arial" w:cs="Arial"/>
          <w:b w:val="0"/>
          <w:sz w:val="22"/>
          <w:szCs w:val="22"/>
        </w:rPr>
        <w:t>27.10.2021</w:t>
      </w:r>
      <w:proofErr w:type="gramEnd"/>
      <w:r w:rsidR="00322EA3">
        <w:rPr>
          <w:rFonts w:ascii="Arial" w:hAnsi="Arial" w:cs="Arial"/>
          <w:b w:val="0"/>
          <w:sz w:val="22"/>
          <w:szCs w:val="22"/>
        </w:rPr>
        <w:t xml:space="preserve"> usnesením č. 10/Z 24/21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25A8B" w:rsidRPr="002E0EAD" w:rsidRDefault="00125A8B" w:rsidP="00F96E7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15507A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96E7D">
        <w:rPr>
          <w:rFonts w:ascii="Arial" w:hAnsi="Arial" w:cs="Arial"/>
          <w:sz w:val="22"/>
          <w:szCs w:val="22"/>
        </w:rPr>
        <w:t xml:space="preserve"> Blatnice pod Svatým </w:t>
      </w:r>
      <w:proofErr w:type="spellStart"/>
      <w:r w:rsidR="00F96E7D">
        <w:rPr>
          <w:rFonts w:ascii="Arial" w:hAnsi="Arial" w:cs="Arial"/>
          <w:sz w:val="22"/>
          <w:szCs w:val="22"/>
        </w:rPr>
        <w:t>Antonínkem</w:t>
      </w:r>
      <w:proofErr w:type="spellEnd"/>
      <w:r w:rsidR="00F96E7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6120A8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F96E7D">
        <w:rPr>
          <w:rFonts w:ascii="Arial" w:hAnsi="Arial" w:cs="Arial"/>
          <w:sz w:val="22"/>
          <w:szCs w:val="22"/>
        </w:rPr>
        <w:t xml:space="preserve">Blatnice pod Svatým </w:t>
      </w:r>
      <w:proofErr w:type="spellStart"/>
      <w:r w:rsidR="00F96E7D">
        <w:rPr>
          <w:rFonts w:ascii="Arial" w:hAnsi="Arial" w:cs="Arial"/>
          <w:sz w:val="22"/>
          <w:szCs w:val="22"/>
        </w:rPr>
        <w:t>Antonínkem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25A8B" w:rsidRDefault="00125A8B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15507A">
      <w:pPr>
        <w:pStyle w:val="Default"/>
        <w:numPr>
          <w:ilvl w:val="0"/>
          <w:numId w:val="39"/>
        </w:numPr>
        <w:tabs>
          <w:tab w:val="left" w:pos="993"/>
        </w:tabs>
        <w:spacing w:after="53"/>
        <w:ind w:hanging="153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15507A">
      <w:pPr>
        <w:pStyle w:val="Default"/>
        <w:numPr>
          <w:ilvl w:val="0"/>
          <w:numId w:val="39"/>
        </w:numPr>
        <w:tabs>
          <w:tab w:val="left" w:pos="993"/>
        </w:tabs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125A8B" w:rsidRDefault="009E188F" w:rsidP="0015507A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25A8B" w:rsidRPr="00125A8B" w:rsidRDefault="00125A8B" w:rsidP="00125A8B">
      <w:pPr>
        <w:rPr>
          <w:rFonts w:ascii="Arial" w:hAnsi="Arial" w:cs="Arial"/>
          <w:sz w:val="22"/>
          <w:szCs w:val="22"/>
        </w:rPr>
      </w:pPr>
    </w:p>
    <w:p w:rsidR="00125A8B" w:rsidRPr="00125A8B" w:rsidRDefault="00125A8B" w:rsidP="00125A8B">
      <w:pPr>
        <w:rPr>
          <w:rFonts w:ascii="Arial" w:hAnsi="Arial" w:cs="Arial"/>
          <w:sz w:val="22"/>
          <w:szCs w:val="22"/>
        </w:rPr>
      </w:pPr>
    </w:p>
    <w:p w:rsidR="00125A8B" w:rsidRPr="002E0EAD" w:rsidRDefault="00125A8B" w:rsidP="00125A8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125A8B" w:rsidRPr="002E0EAD" w:rsidRDefault="00125A8B" w:rsidP="00125A8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125A8B" w:rsidRPr="00CD0C08" w:rsidRDefault="00125A8B" w:rsidP="0015507A">
      <w:pPr>
        <w:pStyle w:val="slalnk"/>
        <w:tabs>
          <w:tab w:val="left" w:pos="567"/>
        </w:tabs>
        <w:spacing w:before="48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420423" w:rsidRPr="00125A8B" w:rsidRDefault="00420423" w:rsidP="00125A8B">
      <w:pPr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E55F25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6120A8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156980" w:rsidRDefault="00322EA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65</w:t>
      </w:r>
      <w:r w:rsidR="00E55F25"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8F73D7" w:rsidRDefault="006A4A80" w:rsidP="008F73D7">
      <w:pPr>
        <w:pStyle w:val="Odstavecseseznamem"/>
        <w:numPr>
          <w:ilvl w:val="0"/>
          <w:numId w:val="38"/>
        </w:numPr>
        <w:tabs>
          <w:tab w:val="left" w:pos="993"/>
        </w:tabs>
        <w:spacing w:before="120" w:after="60" w:line="264" w:lineRule="auto"/>
        <w:ind w:hanging="153"/>
        <w:jc w:val="both"/>
        <w:rPr>
          <w:rFonts w:ascii="Arial" w:hAnsi="Arial" w:cs="Arial"/>
        </w:rPr>
      </w:pPr>
      <w:r w:rsidRPr="008F73D7">
        <w:rPr>
          <w:rFonts w:ascii="Arial" w:hAnsi="Arial" w:cs="Arial"/>
        </w:rPr>
        <w:t>není tato fyzická osoba přihlášena v obci, nebo</w:t>
      </w:r>
    </w:p>
    <w:p w:rsidR="006A4A80" w:rsidRPr="008F73D7" w:rsidRDefault="006A4A80" w:rsidP="008F73D7">
      <w:pPr>
        <w:pStyle w:val="Odstavecseseznamem"/>
        <w:numPr>
          <w:ilvl w:val="0"/>
          <w:numId w:val="38"/>
        </w:numPr>
        <w:tabs>
          <w:tab w:val="left" w:pos="993"/>
        </w:tabs>
        <w:spacing w:before="120" w:after="60" w:line="264" w:lineRule="auto"/>
        <w:ind w:hanging="153"/>
        <w:jc w:val="both"/>
        <w:rPr>
          <w:rFonts w:ascii="Arial" w:hAnsi="Arial" w:cs="Arial"/>
        </w:rPr>
      </w:pPr>
      <w:r w:rsidRPr="008F73D7">
        <w:rPr>
          <w:rFonts w:ascii="Arial" w:hAnsi="Arial" w:cs="Arial"/>
        </w:rPr>
        <w:t>je tato fyzická osoba od poplatku osvobozena.</w:t>
      </w:r>
    </w:p>
    <w:p w:rsidR="00156980" w:rsidRDefault="006A4A80" w:rsidP="001569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156980" w:rsidRDefault="006A4A80" w:rsidP="008F73D7">
      <w:pPr>
        <w:pStyle w:val="Odstavecseseznamem"/>
        <w:numPr>
          <w:ilvl w:val="0"/>
          <w:numId w:val="36"/>
        </w:numPr>
        <w:tabs>
          <w:tab w:val="left" w:pos="993"/>
        </w:tabs>
        <w:spacing w:before="120" w:after="60" w:line="276" w:lineRule="auto"/>
        <w:ind w:hanging="153"/>
        <w:jc w:val="both"/>
        <w:rPr>
          <w:rFonts w:ascii="Arial" w:hAnsi="Arial" w:cs="Arial"/>
        </w:rPr>
      </w:pPr>
      <w:r w:rsidRPr="00156980">
        <w:rPr>
          <w:rFonts w:ascii="Arial" w:hAnsi="Arial" w:cs="Arial"/>
        </w:rPr>
        <w:t>je v této nemovité věci přihlášena alespoň 1 fyzická osoba,</w:t>
      </w:r>
    </w:p>
    <w:p w:rsidR="006A4A80" w:rsidRPr="00156980" w:rsidRDefault="006A4A80" w:rsidP="008F73D7">
      <w:pPr>
        <w:pStyle w:val="Odstavecseseznamem"/>
        <w:numPr>
          <w:ilvl w:val="0"/>
          <w:numId w:val="36"/>
        </w:numPr>
        <w:tabs>
          <w:tab w:val="left" w:pos="993"/>
        </w:tabs>
        <w:spacing w:before="120" w:after="60" w:line="276" w:lineRule="auto"/>
        <w:ind w:hanging="153"/>
        <w:rPr>
          <w:rFonts w:ascii="Arial" w:hAnsi="Arial" w:cs="Arial"/>
        </w:rPr>
      </w:pPr>
      <w:r w:rsidRPr="00156980">
        <w:rPr>
          <w:rFonts w:ascii="Arial" w:hAnsi="Arial" w:cs="Arial"/>
        </w:rPr>
        <w:t>poplatník nevlastní tuto nemovitou věc, nebo</w:t>
      </w:r>
    </w:p>
    <w:p w:rsidR="00E44423" w:rsidRPr="00156980" w:rsidRDefault="006A4A80" w:rsidP="008F73D7">
      <w:pPr>
        <w:pStyle w:val="Odstavecseseznamem"/>
        <w:numPr>
          <w:ilvl w:val="0"/>
          <w:numId w:val="36"/>
        </w:numPr>
        <w:tabs>
          <w:tab w:val="left" w:pos="993"/>
        </w:tabs>
        <w:spacing w:before="120" w:after="60" w:line="276" w:lineRule="auto"/>
        <w:ind w:hanging="153"/>
        <w:rPr>
          <w:rFonts w:ascii="Arial" w:hAnsi="Arial" w:cs="Arial"/>
          <w:i/>
          <w:color w:val="0070C0"/>
        </w:rPr>
      </w:pPr>
      <w:r w:rsidRPr="00156980">
        <w:rPr>
          <w:rFonts w:ascii="Arial" w:hAnsi="Arial" w:cs="Arial"/>
        </w:rPr>
        <w:t>je poplatník od poplatku osvobozen</w:t>
      </w:r>
      <w:r w:rsidRPr="00156980">
        <w:rPr>
          <w:rFonts w:ascii="Arial" w:hAnsi="Arial" w:cs="Arial"/>
          <w:i/>
          <w:color w:val="0070C0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55F25">
        <w:rPr>
          <w:rFonts w:ascii="Arial" w:hAnsi="Arial" w:cs="Arial"/>
          <w:sz w:val="22"/>
          <w:szCs w:val="22"/>
        </w:rPr>
        <w:t>to nejpozději do 30.</w:t>
      </w:r>
      <w:r w:rsidR="0015507A">
        <w:rPr>
          <w:rFonts w:ascii="Arial" w:hAnsi="Arial" w:cs="Arial"/>
          <w:sz w:val="22"/>
          <w:szCs w:val="22"/>
        </w:rPr>
        <w:t xml:space="preserve"> </w:t>
      </w:r>
      <w:r w:rsidR="00E55F25">
        <w:rPr>
          <w:rFonts w:ascii="Arial" w:hAnsi="Arial" w:cs="Arial"/>
          <w:sz w:val="22"/>
          <w:szCs w:val="22"/>
        </w:rPr>
        <w:t xml:space="preserve">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E55F2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5507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156980" w:rsidRDefault="00A904E7" w:rsidP="008F73D7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Pr="00156980" w:rsidRDefault="00A904E7" w:rsidP="008F73D7">
      <w:pPr>
        <w:pStyle w:val="Default"/>
        <w:spacing w:line="276" w:lineRule="auto"/>
        <w:ind w:left="993" w:hanging="426"/>
        <w:jc w:val="both"/>
        <w:rPr>
          <w:sz w:val="22"/>
          <w:szCs w:val="22"/>
        </w:rPr>
      </w:pPr>
      <w:r w:rsidRPr="00156980">
        <w:rPr>
          <w:sz w:val="22"/>
          <w:szCs w:val="22"/>
        </w:rPr>
        <w:t xml:space="preserve">a) </w:t>
      </w:r>
      <w:r w:rsidR="00156980">
        <w:rPr>
          <w:sz w:val="22"/>
          <w:szCs w:val="22"/>
        </w:rPr>
        <w:tab/>
      </w:r>
      <w:r w:rsidRPr="00156980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8F73D7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</w:t>
      </w:r>
      <w:r w:rsidR="0015698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8F73D7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15698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8F73D7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15698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8F73D7">
      <w:pPr>
        <w:pStyle w:val="Default"/>
        <w:spacing w:line="276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15698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56980" w:rsidRDefault="00156980" w:rsidP="003014F2">
      <w:pPr>
        <w:pStyle w:val="Default"/>
        <w:rPr>
          <w:color w:val="auto"/>
          <w:sz w:val="22"/>
          <w:szCs w:val="22"/>
        </w:rPr>
      </w:pPr>
    </w:p>
    <w:p w:rsidR="00131160" w:rsidRPr="002E0EAD" w:rsidRDefault="00131160" w:rsidP="008F73D7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125A8B" w:rsidP="008F73D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dosáhla věku 70 let a více,</w:t>
      </w:r>
    </w:p>
    <w:p w:rsidR="00131160" w:rsidRPr="002E0EAD" w:rsidRDefault="00125A8B" w:rsidP="008F73D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splatnosti poplatku dosáhla věku tří let a mladší,</w:t>
      </w:r>
    </w:p>
    <w:p w:rsidR="00131160" w:rsidRDefault="0015507A" w:rsidP="008F73D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125A8B">
        <w:rPr>
          <w:rFonts w:ascii="Arial" w:hAnsi="Arial" w:cs="Arial"/>
          <w:sz w:val="22"/>
          <w:szCs w:val="22"/>
        </w:rPr>
        <w:t>hlášená v sídle ohlašovny,</w:t>
      </w:r>
    </w:p>
    <w:p w:rsidR="00125A8B" w:rsidRDefault="0015507A" w:rsidP="008F73D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125A8B">
        <w:rPr>
          <w:rFonts w:ascii="Arial" w:hAnsi="Arial" w:cs="Arial"/>
          <w:sz w:val="22"/>
          <w:szCs w:val="22"/>
        </w:rPr>
        <w:t>v přís</w:t>
      </w:r>
      <w:r w:rsidR="00156980">
        <w:rPr>
          <w:rFonts w:ascii="Arial" w:hAnsi="Arial" w:cs="Arial"/>
          <w:sz w:val="22"/>
          <w:szCs w:val="22"/>
        </w:rPr>
        <w:t>lušném kalen</w:t>
      </w:r>
      <w:r>
        <w:rPr>
          <w:rFonts w:ascii="Arial" w:hAnsi="Arial" w:cs="Arial"/>
          <w:sz w:val="22"/>
          <w:szCs w:val="22"/>
        </w:rPr>
        <w:t xml:space="preserve">dářním roce </w:t>
      </w:r>
      <w:r w:rsidR="00125A8B">
        <w:rPr>
          <w:rFonts w:ascii="Arial" w:hAnsi="Arial" w:cs="Arial"/>
          <w:sz w:val="22"/>
          <w:szCs w:val="22"/>
        </w:rPr>
        <w:t>nejméně 6 měsíců mimo území Česk</w:t>
      </w:r>
      <w:r w:rsidR="00076E82">
        <w:rPr>
          <w:rFonts w:ascii="Arial" w:hAnsi="Arial" w:cs="Arial"/>
          <w:sz w:val="22"/>
          <w:szCs w:val="22"/>
        </w:rPr>
        <w:t>é republiky.</w:t>
      </w:r>
    </w:p>
    <w:p w:rsidR="00076E82" w:rsidRDefault="00076E82" w:rsidP="00076E8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5852" w:rsidRDefault="003E5852" w:rsidP="00076E8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</w:t>
      </w:r>
      <w:r w:rsidR="00076E82">
        <w:rPr>
          <w:rFonts w:ascii="Arial" w:hAnsi="Arial" w:cs="Arial"/>
          <w:sz w:val="22"/>
          <w:szCs w:val="22"/>
        </w:rPr>
        <w:t xml:space="preserve"> která se nachází na území této </w:t>
      </w:r>
      <w:r w:rsidRPr="00CF21C3">
        <w:rPr>
          <w:rFonts w:ascii="Arial" w:hAnsi="Arial" w:cs="Arial"/>
          <w:sz w:val="22"/>
          <w:szCs w:val="22"/>
        </w:rPr>
        <w:t>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120A8">
        <w:rPr>
          <w:rFonts w:ascii="Arial" w:hAnsi="Arial" w:cs="Arial"/>
          <w:sz w:val="22"/>
          <w:szCs w:val="22"/>
        </w:rPr>
        <w:t>a která je po celý příslušný kalendářní rok neobyvatelná či není využívána.</w:t>
      </w:r>
    </w:p>
    <w:p w:rsidR="00076E82" w:rsidRDefault="00076E82" w:rsidP="00076E8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76E82" w:rsidRPr="00076E82" w:rsidRDefault="00076E82" w:rsidP="00076E8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5507A">
        <w:rPr>
          <w:rFonts w:ascii="Arial" w:hAnsi="Arial" w:cs="Arial"/>
          <w:sz w:val="22"/>
          <w:szCs w:val="22"/>
        </w:rPr>
        <w:t xml:space="preserve">hodný pro osvobození </w:t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r w:rsidR="0015507A">
        <w:rPr>
          <w:rFonts w:ascii="Arial" w:hAnsi="Arial" w:cs="Arial"/>
          <w:sz w:val="22"/>
          <w:szCs w:val="22"/>
        </w:rPr>
        <w:t>osvobození</w:t>
      </w:r>
      <w:r w:rsidRPr="002E0EAD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076E82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19064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</w:t>
      </w:r>
      <w:r w:rsidR="00D042DD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D042DD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9374C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9374C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9374CA">
        <w:rPr>
          <w:rFonts w:ascii="Arial" w:hAnsi="Arial" w:cs="Arial"/>
          <w:sz w:val="22"/>
          <w:szCs w:val="22"/>
        </w:rPr>
        <w:t xml:space="preserve">č. </w:t>
      </w:r>
      <w:r w:rsidR="009374CA" w:rsidRPr="009374CA">
        <w:rPr>
          <w:rFonts w:ascii="Arial" w:hAnsi="Arial" w:cs="Arial"/>
          <w:sz w:val="22"/>
          <w:szCs w:val="22"/>
        </w:rPr>
        <w:t>3/2019</w:t>
      </w:r>
      <w:r w:rsidRPr="009374CA">
        <w:rPr>
          <w:rFonts w:ascii="Arial" w:hAnsi="Arial" w:cs="Arial"/>
          <w:sz w:val="22"/>
          <w:szCs w:val="22"/>
        </w:rPr>
        <w:t xml:space="preserve"> </w:t>
      </w:r>
      <w:r w:rsidR="009374CA" w:rsidRPr="009374CA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9374CA">
        <w:rPr>
          <w:rFonts w:ascii="Arial" w:hAnsi="Arial" w:cs="Arial"/>
          <w:sz w:val="22"/>
          <w:szCs w:val="22"/>
        </w:rPr>
        <w:t xml:space="preserve"> ze dne</w:t>
      </w:r>
      <w:r w:rsidR="006120A8">
        <w:rPr>
          <w:rFonts w:ascii="Arial" w:hAnsi="Arial" w:cs="Arial"/>
          <w:sz w:val="22"/>
          <w:szCs w:val="22"/>
        </w:rPr>
        <w:t xml:space="preserve">, </w:t>
      </w:r>
      <w:r w:rsidR="009374CA" w:rsidRPr="009374CA">
        <w:rPr>
          <w:rFonts w:ascii="Arial" w:hAnsi="Arial" w:cs="Arial"/>
          <w:sz w:val="22"/>
          <w:szCs w:val="22"/>
        </w:rPr>
        <w:t>4. 12. 2019.</w:t>
      </w:r>
      <w:r w:rsidRPr="009374CA">
        <w:rPr>
          <w:rFonts w:ascii="Arial" w:hAnsi="Arial" w:cs="Arial"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1906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74CA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CA" w:rsidRDefault="009374C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374CA" w:rsidRDefault="009374C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8A5242" w:rsidRDefault="008A524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8A5242">
        <w:rPr>
          <w:rFonts w:ascii="Arial" w:hAnsi="Arial" w:cs="Arial"/>
          <w:i/>
          <w:sz w:val="22"/>
          <w:szCs w:val="22"/>
        </w:rPr>
        <w:t xml:space="preserve">           </w:t>
      </w:r>
      <w:proofErr w:type="gramStart"/>
      <w:r w:rsidRPr="008A5242">
        <w:rPr>
          <w:rFonts w:ascii="Arial" w:hAnsi="Arial" w:cs="Arial"/>
          <w:i/>
          <w:sz w:val="22"/>
          <w:szCs w:val="22"/>
        </w:rPr>
        <w:t>v.r.</w:t>
      </w:r>
      <w:proofErr w:type="gramEnd"/>
      <w:r w:rsidRPr="008A5242">
        <w:rPr>
          <w:rFonts w:ascii="Arial" w:hAnsi="Arial" w:cs="Arial"/>
          <w:i/>
          <w:sz w:val="22"/>
          <w:szCs w:val="22"/>
        </w:rPr>
        <w:t xml:space="preserve"> Ing. Antonín Hanák, MBA                                            v. r. Svatava </w:t>
      </w:r>
      <w:proofErr w:type="spellStart"/>
      <w:r w:rsidRPr="008A5242">
        <w:rPr>
          <w:rFonts w:ascii="Arial" w:hAnsi="Arial" w:cs="Arial"/>
          <w:i/>
          <w:sz w:val="22"/>
          <w:szCs w:val="22"/>
        </w:rPr>
        <w:t>Blahynková</w:t>
      </w:r>
      <w:proofErr w:type="spellEnd"/>
    </w:p>
    <w:p w:rsidR="00131160" w:rsidRPr="002E0EAD" w:rsidRDefault="008A524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A5242">
        <w:rPr>
          <w:rFonts w:ascii="Arial" w:hAnsi="Arial" w:cs="Arial"/>
          <w:sz w:val="22"/>
          <w:szCs w:val="22"/>
        </w:rPr>
        <w:t xml:space="preserve">  01.11.2021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97" w:rsidRDefault="00CD1A97">
      <w:r>
        <w:separator/>
      </w:r>
    </w:p>
  </w:endnote>
  <w:endnote w:type="continuationSeparator" w:id="0">
    <w:p w:rsidR="00CD1A97" w:rsidRDefault="00CD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562D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A5242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97" w:rsidRDefault="00CD1A97">
      <w:r>
        <w:separator/>
      </w:r>
    </w:p>
  </w:footnote>
  <w:footnote w:type="continuationSeparator" w:id="0">
    <w:p w:rsidR="00CD1A97" w:rsidRDefault="00CD1A9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25A8B" w:rsidRDefault="00125A8B" w:rsidP="00125A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076E82" w:rsidRPr="00BA1E8D" w:rsidRDefault="00076E82" w:rsidP="00076E8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4DA2397"/>
    <w:multiLevelType w:val="hybridMultilevel"/>
    <w:tmpl w:val="3CB07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EBD7D44"/>
    <w:multiLevelType w:val="hybridMultilevel"/>
    <w:tmpl w:val="DBF62A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55D7FE9"/>
    <w:multiLevelType w:val="hybridMultilevel"/>
    <w:tmpl w:val="12F8FD4E"/>
    <w:lvl w:ilvl="0" w:tplc="3A3EC674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43311"/>
    <w:multiLevelType w:val="hybridMultilevel"/>
    <w:tmpl w:val="821E53D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B7B1181"/>
    <w:multiLevelType w:val="hybridMultilevel"/>
    <w:tmpl w:val="520C2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2"/>
  </w:num>
  <w:num w:numId="5">
    <w:abstractNumId w:val="8"/>
  </w:num>
  <w:num w:numId="6">
    <w:abstractNumId w:val="32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30"/>
  </w:num>
  <w:num w:numId="34">
    <w:abstractNumId w:val="3"/>
  </w:num>
  <w:num w:numId="35">
    <w:abstractNumId w:val="7"/>
  </w:num>
  <w:num w:numId="36">
    <w:abstractNumId w:val="9"/>
  </w:num>
  <w:num w:numId="37">
    <w:abstractNumId w:val="20"/>
  </w:num>
  <w:num w:numId="38">
    <w:abstractNumId w:val="27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7818"/>
    <w:rsid w:val="000345D5"/>
    <w:rsid w:val="000408D0"/>
    <w:rsid w:val="00040EA6"/>
    <w:rsid w:val="000538DD"/>
    <w:rsid w:val="000566F2"/>
    <w:rsid w:val="00065D79"/>
    <w:rsid w:val="00066D7D"/>
    <w:rsid w:val="0007566F"/>
    <w:rsid w:val="00076E82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06A9"/>
    <w:rsid w:val="00125A8B"/>
    <w:rsid w:val="00125EC7"/>
    <w:rsid w:val="00130094"/>
    <w:rsid w:val="00131160"/>
    <w:rsid w:val="0014154F"/>
    <w:rsid w:val="001465CC"/>
    <w:rsid w:val="00154BC3"/>
    <w:rsid w:val="0015507A"/>
    <w:rsid w:val="00156980"/>
    <w:rsid w:val="00160729"/>
    <w:rsid w:val="00166420"/>
    <w:rsid w:val="00173886"/>
    <w:rsid w:val="00190222"/>
    <w:rsid w:val="0019064D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4F2"/>
    <w:rsid w:val="00302A97"/>
    <w:rsid w:val="00303591"/>
    <w:rsid w:val="00304575"/>
    <w:rsid w:val="00322107"/>
    <w:rsid w:val="00322EA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1D0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07C"/>
    <w:rsid w:val="005F6F56"/>
    <w:rsid w:val="006120A8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242"/>
    <w:rsid w:val="008B0A2C"/>
    <w:rsid w:val="008B6E2F"/>
    <w:rsid w:val="008C4254"/>
    <w:rsid w:val="008C5764"/>
    <w:rsid w:val="008D6906"/>
    <w:rsid w:val="008E43B1"/>
    <w:rsid w:val="008E5AE2"/>
    <w:rsid w:val="008F3152"/>
    <w:rsid w:val="008F73D7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374CA"/>
    <w:rsid w:val="00942E81"/>
    <w:rsid w:val="00945C21"/>
    <w:rsid w:val="00947AC1"/>
    <w:rsid w:val="009504F4"/>
    <w:rsid w:val="0095464F"/>
    <w:rsid w:val="009562D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7E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F5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006"/>
    <w:rsid w:val="00C1031D"/>
    <w:rsid w:val="00C119A6"/>
    <w:rsid w:val="00C158F3"/>
    <w:rsid w:val="00C17467"/>
    <w:rsid w:val="00C3174D"/>
    <w:rsid w:val="00C31C1A"/>
    <w:rsid w:val="00C35DC9"/>
    <w:rsid w:val="00C405E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1A97"/>
    <w:rsid w:val="00CD64EA"/>
    <w:rsid w:val="00CD7144"/>
    <w:rsid w:val="00CD7CB8"/>
    <w:rsid w:val="00CE15B3"/>
    <w:rsid w:val="00D042DD"/>
    <w:rsid w:val="00D122A6"/>
    <w:rsid w:val="00D133DC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5F25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6E7D"/>
    <w:rsid w:val="00FB319D"/>
    <w:rsid w:val="00FB336E"/>
    <w:rsid w:val="00FC4FAC"/>
    <w:rsid w:val="00FD0738"/>
    <w:rsid w:val="00FE331A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0F82-BB6E-44D2-BA32-3BBF713B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1205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Poplatky</cp:lastModifiedBy>
  <cp:revision>8</cp:revision>
  <cp:lastPrinted>2021-08-02T10:40:00Z</cp:lastPrinted>
  <dcterms:created xsi:type="dcterms:W3CDTF">2021-07-27T06:36:00Z</dcterms:created>
  <dcterms:modified xsi:type="dcterms:W3CDTF">2022-03-15T10:08:00Z</dcterms:modified>
</cp:coreProperties>
</file>