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2BE3" w:rsidRPr="00C046B5" w:rsidRDefault="00942BE3" w:rsidP="00942BE3">
      <w:pPr>
        <w:spacing w:after="0" w:line="240" w:lineRule="auto"/>
        <w:jc w:val="right"/>
        <w:rPr>
          <w:rFonts w:ascii="Bookman Old Style" w:eastAsia="Times New Roman" w:hAnsi="Bookman Old Style" w:cs="Arial"/>
          <w:b/>
          <w:bCs/>
          <w:sz w:val="32"/>
          <w:szCs w:val="32"/>
          <w:lang w:eastAsia="cs-CZ"/>
        </w:rPr>
      </w:pPr>
      <w:r w:rsidRPr="00C046B5">
        <w:rPr>
          <w:rFonts w:ascii="Bookman Old Style" w:eastAsia="Times New Roman" w:hAnsi="Bookman Old Style" w:cs="Arial"/>
          <w:b/>
          <w:bCs/>
          <w:sz w:val="32"/>
          <w:szCs w:val="32"/>
          <w:lang w:eastAsia="cs-CZ"/>
        </w:rPr>
        <w:t>2/2017</w:t>
      </w:r>
    </w:p>
    <w:p w:rsidR="00942BE3" w:rsidRPr="00092333" w:rsidRDefault="00942BE3" w:rsidP="00942BE3">
      <w:pPr>
        <w:spacing w:after="0" w:line="240" w:lineRule="auto"/>
        <w:jc w:val="right"/>
        <w:rPr>
          <w:rFonts w:ascii="Bookman Old Style" w:eastAsia="Times New Roman" w:hAnsi="Bookman Old Style" w:cs="Arial"/>
          <w:b/>
          <w:bCs/>
          <w:sz w:val="32"/>
          <w:szCs w:val="32"/>
          <w:lang w:eastAsia="cs-CZ"/>
        </w:rPr>
      </w:pPr>
    </w:p>
    <w:p w:rsidR="00942BE3" w:rsidRPr="00092333" w:rsidRDefault="00942BE3" w:rsidP="00942BE3">
      <w:pPr>
        <w:autoSpaceDE w:val="0"/>
        <w:autoSpaceDN w:val="0"/>
        <w:adjustRightInd w:val="0"/>
        <w:spacing w:after="0" w:line="240" w:lineRule="auto"/>
        <w:jc w:val="center"/>
        <w:rPr>
          <w:rFonts w:ascii="Bookman Old Style" w:eastAsia="Times New Roman" w:hAnsi="Bookman Old Style" w:cs="Arial"/>
          <w:b/>
          <w:bCs/>
          <w:sz w:val="32"/>
          <w:szCs w:val="32"/>
          <w:lang w:eastAsia="cs-CZ"/>
        </w:rPr>
      </w:pPr>
      <w:r w:rsidRPr="00092333">
        <w:rPr>
          <w:rFonts w:ascii="Bookman Old Style" w:eastAsia="Times New Roman" w:hAnsi="Bookman Old Style" w:cs="Arial"/>
          <w:b/>
          <w:bCs/>
          <w:sz w:val="32"/>
          <w:szCs w:val="32"/>
          <w:lang w:eastAsia="cs-CZ"/>
        </w:rPr>
        <w:t>Nařízení</w:t>
      </w:r>
    </w:p>
    <w:p w:rsidR="00942BE3" w:rsidRPr="00092333" w:rsidRDefault="00942BE3" w:rsidP="00942BE3">
      <w:pPr>
        <w:autoSpaceDE w:val="0"/>
        <w:autoSpaceDN w:val="0"/>
        <w:adjustRightInd w:val="0"/>
        <w:spacing w:after="0" w:line="240" w:lineRule="auto"/>
        <w:jc w:val="center"/>
        <w:rPr>
          <w:rFonts w:ascii="Bookman Old Style" w:eastAsia="Times New Roman" w:hAnsi="Bookman Old Style" w:cs="Arial"/>
          <w:b/>
          <w:bCs/>
          <w:sz w:val="32"/>
          <w:szCs w:val="32"/>
          <w:lang w:eastAsia="cs-CZ"/>
        </w:rPr>
      </w:pPr>
      <w:r w:rsidRPr="00092333">
        <w:rPr>
          <w:rFonts w:ascii="Bookman Old Style" w:eastAsia="Times New Roman" w:hAnsi="Bookman Old Style" w:cs="Arial"/>
          <w:b/>
          <w:bCs/>
          <w:sz w:val="32"/>
          <w:szCs w:val="32"/>
          <w:lang w:eastAsia="cs-CZ"/>
        </w:rPr>
        <w:t>statutárního města Jablonec nad Nisou</w:t>
      </w:r>
    </w:p>
    <w:p w:rsidR="00942BE3" w:rsidRPr="00092333" w:rsidRDefault="00942BE3" w:rsidP="00942BE3">
      <w:pPr>
        <w:autoSpaceDE w:val="0"/>
        <w:autoSpaceDN w:val="0"/>
        <w:adjustRightInd w:val="0"/>
        <w:spacing w:after="0" w:line="240" w:lineRule="auto"/>
        <w:jc w:val="center"/>
        <w:rPr>
          <w:rFonts w:ascii="Bookman Old Style" w:eastAsia="Times New Roman" w:hAnsi="Bookman Old Style" w:cs="Arial"/>
          <w:b/>
          <w:bCs/>
          <w:sz w:val="28"/>
          <w:szCs w:val="28"/>
          <w:lang w:eastAsia="cs-CZ"/>
        </w:rPr>
      </w:pPr>
      <w:r w:rsidRPr="00092333">
        <w:rPr>
          <w:rFonts w:ascii="Bookman Old Style" w:eastAsia="Times New Roman" w:hAnsi="Bookman Old Style" w:cs="Arial"/>
          <w:b/>
          <w:bCs/>
          <w:sz w:val="28"/>
          <w:szCs w:val="28"/>
          <w:lang w:eastAsia="cs-CZ"/>
        </w:rPr>
        <w:t>o placeném stání motorových vozidel na místních komunikacích na území města Jablonec nad Nisou</w:t>
      </w:r>
    </w:p>
    <w:p w:rsidR="00942BE3" w:rsidRPr="00092333" w:rsidRDefault="00942BE3" w:rsidP="00942BE3">
      <w:pPr>
        <w:autoSpaceDE w:val="0"/>
        <w:autoSpaceDN w:val="0"/>
        <w:adjustRightInd w:val="0"/>
        <w:spacing w:after="0" w:line="240" w:lineRule="auto"/>
        <w:jc w:val="both"/>
        <w:rPr>
          <w:rFonts w:ascii="Bookman Old Style" w:eastAsia="Times New Roman" w:hAnsi="Bookman Old Style" w:cs="Arial"/>
          <w:bCs/>
          <w:lang w:eastAsia="cs-CZ"/>
        </w:rPr>
      </w:pP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bCs/>
          <w:sz w:val="24"/>
          <w:szCs w:val="24"/>
          <w:lang w:eastAsia="cs-CZ"/>
        </w:rPr>
      </w:pPr>
      <w:r w:rsidRPr="00472CD4">
        <w:rPr>
          <w:rFonts w:ascii="Bookman Old Style" w:eastAsia="Times New Roman" w:hAnsi="Bookman Old Style" w:cs="Arial"/>
          <w:bCs/>
          <w:sz w:val="24"/>
          <w:szCs w:val="24"/>
          <w:lang w:eastAsia="cs-CZ"/>
        </w:rPr>
        <w:t xml:space="preserve">Rada města Jablonec nad Nisou se usnesla dne </w:t>
      </w:r>
      <w:r>
        <w:rPr>
          <w:rFonts w:ascii="Bookman Old Style" w:eastAsia="Times New Roman" w:hAnsi="Bookman Old Style" w:cs="Arial"/>
          <w:bCs/>
          <w:sz w:val="24"/>
          <w:szCs w:val="24"/>
          <w:lang w:eastAsia="cs-CZ"/>
        </w:rPr>
        <w:t xml:space="preserve">14. prosince </w:t>
      </w:r>
      <w:r w:rsidRPr="00472CD4">
        <w:rPr>
          <w:rFonts w:ascii="Bookman Old Style" w:eastAsia="Times New Roman" w:hAnsi="Bookman Old Style" w:cs="Arial"/>
          <w:bCs/>
          <w:sz w:val="24"/>
          <w:szCs w:val="24"/>
          <w:lang w:eastAsia="cs-CZ"/>
        </w:rPr>
        <w:t>201</w:t>
      </w:r>
      <w:r>
        <w:rPr>
          <w:rFonts w:ascii="Bookman Old Style" w:eastAsia="Times New Roman" w:hAnsi="Bookman Old Style" w:cs="Arial"/>
          <w:bCs/>
          <w:sz w:val="24"/>
          <w:szCs w:val="24"/>
          <w:lang w:eastAsia="cs-CZ"/>
        </w:rPr>
        <w:t>7</w:t>
      </w:r>
      <w:r w:rsidRPr="00472CD4">
        <w:rPr>
          <w:rFonts w:ascii="Bookman Old Style" w:eastAsia="Times New Roman" w:hAnsi="Bookman Old Style" w:cs="Arial"/>
          <w:bCs/>
          <w:sz w:val="24"/>
          <w:szCs w:val="24"/>
          <w:lang w:eastAsia="cs-CZ"/>
        </w:rPr>
        <w:t xml:space="preserve"> vydat podle § 23 odst. 1, písm. a) a c), zákona č. 13/1997 Sb., o pozemních komunikacích, ve znění pozdějších předpisů, a v souladu s ustanovením § 11 a § 102 odst. 2 písm. d) zákona č. 128/2000 Sb., o obcích (obecní zřízení), ve znění pozdějších předpisů, toto nařízení statutárního města Jablonec nad Nisou: </w:t>
      </w: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b/>
          <w:bCs/>
          <w:sz w:val="24"/>
          <w:szCs w:val="24"/>
          <w:lang w:eastAsia="cs-CZ"/>
        </w:rPr>
      </w:pP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r w:rsidRPr="00472CD4">
        <w:rPr>
          <w:rFonts w:ascii="Bookman Old Style" w:eastAsia="Times New Roman" w:hAnsi="Bookman Old Style" w:cs="Arial"/>
          <w:b/>
          <w:bCs/>
          <w:sz w:val="24"/>
          <w:szCs w:val="24"/>
          <w:lang w:eastAsia="cs-CZ"/>
        </w:rPr>
        <w:t>Článek I</w:t>
      </w: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sz w:val="24"/>
          <w:szCs w:val="24"/>
          <w:lang w:eastAsia="cs-CZ"/>
        </w:rPr>
      </w:pPr>
      <w:r w:rsidRPr="00472CD4">
        <w:rPr>
          <w:rFonts w:ascii="Bookman Old Style" w:eastAsia="Times New Roman" w:hAnsi="Bookman Old Style" w:cs="Arial"/>
          <w:b/>
          <w:sz w:val="24"/>
          <w:szCs w:val="24"/>
          <w:lang w:eastAsia="cs-CZ"/>
        </w:rPr>
        <w:t>Základní ustanovení</w:t>
      </w: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sz w:val="24"/>
          <w:szCs w:val="24"/>
          <w:lang w:eastAsia="cs-CZ"/>
        </w:rPr>
      </w:pPr>
    </w:p>
    <w:p w:rsidR="00942BE3" w:rsidRPr="00472CD4" w:rsidRDefault="00942BE3" w:rsidP="00942BE3">
      <w:pPr>
        <w:autoSpaceDE w:val="0"/>
        <w:autoSpaceDN w:val="0"/>
        <w:adjustRightInd w:val="0"/>
        <w:spacing w:after="0" w:line="240" w:lineRule="auto"/>
        <w:jc w:val="both"/>
        <w:rPr>
          <w:rFonts w:ascii="Bookman Old Style" w:hAnsi="Bookman Old Style" w:cs="Arial"/>
          <w:sz w:val="24"/>
          <w:szCs w:val="24"/>
        </w:rPr>
      </w:pPr>
      <w:r w:rsidRPr="00472CD4">
        <w:rPr>
          <w:rFonts w:ascii="Bookman Old Style" w:hAnsi="Bookman Old Style" w:cs="Arial"/>
          <w:sz w:val="24"/>
          <w:szCs w:val="24"/>
        </w:rPr>
        <w:t xml:space="preserve">V zájmu regulace dopravy v klidu s ohledem na zajištění maximálního využití parkovacích kapacit se upravuje placené stání silničních motorových </w:t>
      </w:r>
      <w:proofErr w:type="gramStart"/>
      <w:r w:rsidRPr="00472CD4">
        <w:rPr>
          <w:rFonts w:ascii="Bookman Old Style" w:hAnsi="Bookman Old Style" w:cs="Arial"/>
          <w:sz w:val="24"/>
          <w:szCs w:val="24"/>
        </w:rPr>
        <w:t>vozidel - osobních</w:t>
      </w:r>
      <w:proofErr w:type="gramEnd"/>
      <w:r w:rsidRPr="00472CD4">
        <w:rPr>
          <w:rFonts w:ascii="Bookman Old Style" w:hAnsi="Bookman Old Style" w:cs="Arial"/>
          <w:sz w:val="24"/>
          <w:szCs w:val="24"/>
        </w:rPr>
        <w:t xml:space="preserve"> automobilů, jejich modifikací (dále jen „silničních motorových vozidel“) a jednostopých motorových vozidel ve vymezených oblastech a na vymezených místních komunikacích na území města Jablonec nad Nisou. </w:t>
      </w: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sz w:val="24"/>
          <w:szCs w:val="24"/>
          <w:lang w:eastAsia="cs-CZ"/>
        </w:rPr>
      </w:pP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r w:rsidRPr="00472CD4">
        <w:rPr>
          <w:rFonts w:ascii="Bookman Old Style" w:eastAsia="Times New Roman" w:hAnsi="Bookman Old Style" w:cs="Arial"/>
          <w:b/>
          <w:bCs/>
          <w:sz w:val="24"/>
          <w:szCs w:val="24"/>
          <w:lang w:eastAsia="cs-CZ"/>
        </w:rPr>
        <w:t>Článek II</w:t>
      </w: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r w:rsidRPr="00472CD4">
        <w:rPr>
          <w:rFonts w:ascii="Bookman Old Style" w:eastAsia="Times New Roman" w:hAnsi="Bookman Old Style" w:cs="Arial"/>
          <w:b/>
          <w:bCs/>
          <w:sz w:val="24"/>
          <w:szCs w:val="24"/>
          <w:lang w:eastAsia="cs-CZ"/>
        </w:rPr>
        <w:t>Předmět nařízení města</w:t>
      </w:r>
    </w:p>
    <w:p w:rsidR="00942BE3" w:rsidRPr="00472CD4" w:rsidRDefault="00942BE3" w:rsidP="00942BE3">
      <w:pPr>
        <w:spacing w:after="0" w:line="240" w:lineRule="auto"/>
        <w:jc w:val="center"/>
        <w:rPr>
          <w:rFonts w:ascii="Bookman Old Style" w:hAnsi="Bookman Old Style"/>
          <w:sz w:val="24"/>
          <w:szCs w:val="24"/>
        </w:rPr>
      </w:pPr>
    </w:p>
    <w:p w:rsidR="00942BE3" w:rsidRPr="00472CD4" w:rsidRDefault="00942BE3" w:rsidP="00942BE3">
      <w:pPr>
        <w:pStyle w:val="Odstavecseseznamem"/>
        <w:ind w:left="0"/>
        <w:jc w:val="both"/>
        <w:rPr>
          <w:rFonts w:ascii="Bookman Old Style" w:hAnsi="Bookman Old Style"/>
          <w:sz w:val="24"/>
          <w:szCs w:val="24"/>
        </w:rPr>
      </w:pPr>
      <w:r w:rsidRPr="00472CD4">
        <w:rPr>
          <w:rFonts w:ascii="Bookman Old Style" w:hAnsi="Bookman Old Style"/>
          <w:sz w:val="24"/>
          <w:szCs w:val="24"/>
        </w:rPr>
        <w:t>Místní komunikace nebo jejich určené úseky, které lze užít za cenu sjednanou v souladu s cenovými předpisy</w:t>
      </w:r>
      <w:r w:rsidRPr="00472CD4">
        <w:rPr>
          <w:rStyle w:val="Znakapoznpodarou"/>
          <w:rFonts w:ascii="Bookman Old Style" w:hAnsi="Bookman Old Style" w:cs="Arial"/>
          <w:sz w:val="24"/>
          <w:szCs w:val="24"/>
        </w:rPr>
        <w:footnoteReference w:customMarkFollows="1" w:id="1"/>
        <w:t>1</w:t>
      </w:r>
      <w:r w:rsidRPr="00472CD4">
        <w:rPr>
          <w:rFonts w:ascii="Bookman Old Style" w:hAnsi="Bookman Old Style"/>
          <w:sz w:val="24"/>
          <w:szCs w:val="24"/>
        </w:rPr>
        <w:t xml:space="preserve"> k stání silničního motorového vozidla ve městě Jablonec nad Nisou na dobu časově omezenou, a to ve dnech pondělí až pátek od 8:00 do 18:00 hodin kromě místní </w:t>
      </w:r>
      <w:proofErr w:type="gramStart"/>
      <w:r>
        <w:rPr>
          <w:rFonts w:ascii="Bookman Old Style" w:hAnsi="Bookman Old Style"/>
          <w:sz w:val="24"/>
          <w:szCs w:val="24"/>
        </w:rPr>
        <w:t>komunikace - ulice</w:t>
      </w:r>
      <w:proofErr w:type="gramEnd"/>
      <w:r>
        <w:rPr>
          <w:rFonts w:ascii="Bookman Old Style" w:hAnsi="Bookman Old Style"/>
          <w:sz w:val="24"/>
          <w:szCs w:val="24"/>
        </w:rPr>
        <w:t xml:space="preserve"> Za H</w:t>
      </w:r>
      <w:r w:rsidRPr="00472CD4">
        <w:rPr>
          <w:rFonts w:ascii="Bookman Old Style" w:hAnsi="Bookman Old Style"/>
          <w:sz w:val="24"/>
          <w:szCs w:val="24"/>
        </w:rPr>
        <w:t>rází s dobou časově omezenou ve dnech pondělí až neděle od 8:00 do 18:00 hodin. Tato doba je uvedena na parkovacím automatu. Dny pracovního klidu jsou kromě místní komunikace ulice Za Hrází bez poplatku.</w:t>
      </w:r>
      <w:r w:rsidRPr="00472CD4">
        <w:rPr>
          <w:rFonts w:ascii="Bookman Old Style" w:hAnsi="Bookman Old Style"/>
          <w:b/>
          <w:sz w:val="24"/>
          <w:szCs w:val="24"/>
        </w:rPr>
        <w:t xml:space="preserve"> </w:t>
      </w:r>
      <w:r w:rsidRPr="00472CD4">
        <w:rPr>
          <w:rFonts w:ascii="Bookman Old Style" w:hAnsi="Bookman Old Style"/>
          <w:sz w:val="24"/>
          <w:szCs w:val="24"/>
        </w:rPr>
        <w:t>Místní komunikace nebo jejich určené úseky jsou uvedeny v příloze č. 1 k tomuto nařízení.</w:t>
      </w: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r w:rsidRPr="00472CD4">
        <w:rPr>
          <w:rFonts w:ascii="Bookman Old Style" w:eastAsia="Times New Roman" w:hAnsi="Bookman Old Style" w:cs="Arial"/>
          <w:b/>
          <w:bCs/>
          <w:sz w:val="24"/>
          <w:szCs w:val="24"/>
          <w:lang w:eastAsia="cs-CZ"/>
        </w:rPr>
        <w:t>Článek III</w:t>
      </w: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r w:rsidRPr="00472CD4">
        <w:rPr>
          <w:rFonts w:ascii="Bookman Old Style" w:eastAsia="Times New Roman" w:hAnsi="Bookman Old Style" w:cs="Arial"/>
          <w:b/>
          <w:bCs/>
          <w:sz w:val="24"/>
          <w:szCs w:val="24"/>
          <w:lang w:eastAsia="cs-CZ"/>
        </w:rPr>
        <w:t xml:space="preserve">Všeobecná ustanovení </w:t>
      </w: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b/>
          <w:bCs/>
          <w:sz w:val="24"/>
          <w:szCs w:val="24"/>
          <w:u w:val="single"/>
          <w:lang w:eastAsia="cs-CZ"/>
        </w:rPr>
      </w:pP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sz w:val="24"/>
          <w:szCs w:val="24"/>
          <w:lang w:eastAsia="cs-CZ"/>
        </w:rPr>
      </w:pPr>
      <w:r w:rsidRPr="00472CD4">
        <w:rPr>
          <w:rFonts w:ascii="Bookman Old Style" w:eastAsia="Times New Roman" w:hAnsi="Bookman Old Style" w:cs="Arial"/>
          <w:sz w:val="24"/>
          <w:szCs w:val="24"/>
          <w:lang w:eastAsia="cs-CZ"/>
        </w:rPr>
        <w:t xml:space="preserve">Zaplacení sjednané ceny za stání na místních komunikacích se prokazuje dokladem o zaplacení z parkovacího automatu, SMS zprávou na všech parkovacích automatech nebo parkovací kartou. Tyto doklady (mimo SMS zprávy) musí být po celou dobu stání silničního motorového vozidla umístěny za předním sklem automobilu, musí být plně viditelné a nesmí být ani částečně zakryty tónováním skla, libovolnými nálepkami nebo jinými předměty, musí být umístěny lícovou stranou obsahující identifikační údaje směrem ven z vozidla tak, aby jejich text byl snadno čitelný při pohledu zvenku. U jednostopého motorového vozidla se zaplacení stanovené ceny </w:t>
      </w:r>
      <w:r w:rsidRPr="00472CD4">
        <w:rPr>
          <w:rFonts w:ascii="Bookman Old Style" w:eastAsia="Times New Roman" w:hAnsi="Bookman Old Style" w:cs="Arial"/>
          <w:sz w:val="24"/>
          <w:szCs w:val="24"/>
          <w:lang w:eastAsia="cs-CZ"/>
        </w:rPr>
        <w:lastRenderedPageBreak/>
        <w:t xml:space="preserve">prokazuje přímo u orgánu dohledu na základě jeho vyžádání. Výši ceny stanoví Rada města Jablonec nad Nisou „Ceníkem za stání silničních motorových vozidel na místních komunikacích města Jablonec nad Nisou“. </w:t>
      </w: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bCs/>
          <w:sz w:val="24"/>
          <w:szCs w:val="24"/>
          <w:lang w:eastAsia="cs-CZ"/>
        </w:rPr>
      </w:pP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bCs/>
          <w:sz w:val="24"/>
          <w:szCs w:val="24"/>
          <w:lang w:eastAsia="cs-CZ"/>
        </w:rPr>
      </w:pPr>
      <w:r w:rsidRPr="00472CD4">
        <w:rPr>
          <w:rFonts w:ascii="Bookman Old Style" w:eastAsia="Times New Roman" w:hAnsi="Bookman Old Style" w:cs="Arial"/>
          <w:bCs/>
          <w:sz w:val="24"/>
          <w:szCs w:val="24"/>
          <w:lang w:eastAsia="cs-CZ"/>
        </w:rPr>
        <w:t>Příloha č. 2 obsahuje názvy vymezených oblastí místních komunikací a jejich parkovacích ploch s možností úhrady parkovného prostřednictvím parkovacích karet.</w:t>
      </w: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sz w:val="24"/>
          <w:szCs w:val="24"/>
          <w:lang w:eastAsia="cs-CZ"/>
        </w:rPr>
      </w:pP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r w:rsidRPr="00472CD4">
        <w:rPr>
          <w:rFonts w:ascii="Bookman Old Style" w:eastAsia="Times New Roman" w:hAnsi="Bookman Old Style" w:cs="Arial"/>
          <w:b/>
          <w:bCs/>
          <w:sz w:val="24"/>
          <w:szCs w:val="24"/>
          <w:lang w:eastAsia="cs-CZ"/>
        </w:rPr>
        <w:t>Článek IV</w:t>
      </w:r>
    </w:p>
    <w:p w:rsidR="00942BE3" w:rsidRPr="00472CD4" w:rsidRDefault="00942BE3" w:rsidP="00942BE3">
      <w:pPr>
        <w:autoSpaceDE w:val="0"/>
        <w:autoSpaceDN w:val="0"/>
        <w:adjustRightInd w:val="0"/>
        <w:spacing w:after="0" w:line="240" w:lineRule="auto"/>
        <w:jc w:val="center"/>
        <w:rPr>
          <w:rFonts w:ascii="Bookman Old Style" w:hAnsi="Bookman Old Style" w:cs="Arial"/>
          <w:b/>
          <w:bCs/>
          <w:sz w:val="24"/>
          <w:szCs w:val="24"/>
        </w:rPr>
      </w:pPr>
      <w:r w:rsidRPr="00472CD4">
        <w:rPr>
          <w:rFonts w:ascii="Bookman Old Style" w:hAnsi="Bookman Old Style" w:cs="Arial"/>
          <w:b/>
          <w:bCs/>
          <w:sz w:val="24"/>
          <w:szCs w:val="24"/>
        </w:rPr>
        <w:t>Sankce</w:t>
      </w:r>
    </w:p>
    <w:p w:rsidR="00942BE3" w:rsidRPr="00472CD4" w:rsidRDefault="00942BE3" w:rsidP="00942BE3">
      <w:pPr>
        <w:autoSpaceDE w:val="0"/>
        <w:autoSpaceDN w:val="0"/>
        <w:adjustRightInd w:val="0"/>
        <w:spacing w:after="0" w:line="240" w:lineRule="auto"/>
        <w:jc w:val="center"/>
        <w:rPr>
          <w:rFonts w:ascii="Bookman Old Style" w:hAnsi="Bookman Old Style" w:cs="Arial"/>
          <w:b/>
          <w:bCs/>
          <w:sz w:val="24"/>
          <w:szCs w:val="24"/>
        </w:rPr>
      </w:pPr>
    </w:p>
    <w:p w:rsidR="00942BE3" w:rsidRPr="00472CD4" w:rsidRDefault="00942BE3" w:rsidP="00942BE3">
      <w:pPr>
        <w:autoSpaceDE w:val="0"/>
        <w:autoSpaceDN w:val="0"/>
        <w:adjustRightInd w:val="0"/>
        <w:spacing w:after="0" w:line="240" w:lineRule="auto"/>
        <w:jc w:val="both"/>
        <w:rPr>
          <w:rFonts w:ascii="Bookman Old Style" w:hAnsi="Bookman Old Style" w:cs="Arial"/>
          <w:sz w:val="24"/>
          <w:szCs w:val="24"/>
        </w:rPr>
      </w:pPr>
      <w:r w:rsidRPr="00472CD4">
        <w:rPr>
          <w:rFonts w:ascii="Bookman Old Style" w:hAnsi="Bookman Old Style" w:cs="Arial"/>
          <w:sz w:val="24"/>
          <w:szCs w:val="24"/>
        </w:rPr>
        <w:t>Porušování ustanovení tohoto nařízení města bude posuzováno jako přestupek</w:t>
      </w:r>
      <w:r w:rsidRPr="00472CD4">
        <w:rPr>
          <w:rFonts w:ascii="Bookman Old Style" w:hAnsi="Bookman Old Style" w:cs="Arial"/>
          <w:sz w:val="24"/>
          <w:szCs w:val="24"/>
          <w:vertAlign w:val="superscript"/>
        </w:rPr>
        <w:footnoteReference w:customMarkFollows="1" w:id="2"/>
        <w:t>3</w:t>
      </w:r>
      <w:r w:rsidRPr="00472CD4">
        <w:rPr>
          <w:rFonts w:ascii="Bookman Old Style" w:hAnsi="Bookman Old Style" w:cs="Arial"/>
          <w:sz w:val="24"/>
          <w:szCs w:val="24"/>
        </w:rPr>
        <w:t>, nepůjde-li o jiný správní delikt postižitelný podle zvláštních předpisů nebo o trestný čin.</w:t>
      </w:r>
    </w:p>
    <w:p w:rsidR="00942BE3" w:rsidRPr="00472CD4" w:rsidRDefault="00942BE3" w:rsidP="00942BE3">
      <w:pPr>
        <w:spacing w:after="0"/>
        <w:rPr>
          <w:rFonts w:ascii="Bookman Old Style" w:hAnsi="Bookman Old Style"/>
          <w:sz w:val="24"/>
          <w:szCs w:val="24"/>
        </w:rPr>
      </w:pPr>
    </w:p>
    <w:p w:rsidR="00942BE3" w:rsidRPr="00472CD4" w:rsidRDefault="00942BE3" w:rsidP="00942BE3">
      <w:pPr>
        <w:autoSpaceDE w:val="0"/>
        <w:autoSpaceDN w:val="0"/>
        <w:adjustRightInd w:val="0"/>
        <w:spacing w:after="0" w:line="240" w:lineRule="auto"/>
        <w:jc w:val="center"/>
        <w:rPr>
          <w:rFonts w:ascii="Bookman Old Style" w:eastAsia="Times New Roman" w:hAnsi="Bookman Old Style" w:cs="Arial"/>
          <w:b/>
          <w:bCs/>
          <w:sz w:val="24"/>
          <w:szCs w:val="24"/>
          <w:lang w:eastAsia="cs-CZ"/>
        </w:rPr>
      </w:pPr>
      <w:r w:rsidRPr="00472CD4">
        <w:rPr>
          <w:rFonts w:ascii="Bookman Old Style" w:eastAsia="Times New Roman" w:hAnsi="Bookman Old Style" w:cs="Arial"/>
          <w:b/>
          <w:bCs/>
          <w:sz w:val="24"/>
          <w:szCs w:val="24"/>
          <w:lang w:eastAsia="cs-CZ"/>
        </w:rPr>
        <w:t>Článek V</w:t>
      </w:r>
    </w:p>
    <w:p w:rsidR="00942BE3" w:rsidRPr="00472CD4" w:rsidRDefault="00942BE3" w:rsidP="00942BE3">
      <w:pPr>
        <w:autoSpaceDE w:val="0"/>
        <w:autoSpaceDN w:val="0"/>
        <w:adjustRightInd w:val="0"/>
        <w:spacing w:after="0" w:line="240" w:lineRule="auto"/>
        <w:jc w:val="center"/>
        <w:rPr>
          <w:rFonts w:ascii="Bookman Old Style" w:hAnsi="Bookman Old Style" w:cs="Arial"/>
          <w:b/>
          <w:bCs/>
          <w:sz w:val="24"/>
          <w:szCs w:val="24"/>
        </w:rPr>
      </w:pPr>
      <w:r w:rsidRPr="00472CD4">
        <w:rPr>
          <w:rFonts w:ascii="Bookman Old Style" w:hAnsi="Bookman Old Style" w:cs="Arial"/>
          <w:b/>
          <w:bCs/>
          <w:sz w:val="24"/>
          <w:szCs w:val="24"/>
        </w:rPr>
        <w:t>Zrušovací ustanovení</w:t>
      </w:r>
    </w:p>
    <w:p w:rsidR="00942BE3" w:rsidRPr="00472CD4" w:rsidRDefault="00942BE3" w:rsidP="00942BE3">
      <w:pPr>
        <w:autoSpaceDE w:val="0"/>
        <w:autoSpaceDN w:val="0"/>
        <w:adjustRightInd w:val="0"/>
        <w:spacing w:after="0" w:line="240" w:lineRule="auto"/>
        <w:jc w:val="center"/>
        <w:rPr>
          <w:rFonts w:ascii="Bookman Old Style" w:hAnsi="Bookman Old Style" w:cs="Arial"/>
          <w:sz w:val="24"/>
          <w:szCs w:val="24"/>
        </w:rPr>
      </w:pPr>
    </w:p>
    <w:p w:rsidR="00942BE3" w:rsidRPr="00472CD4" w:rsidRDefault="00942BE3" w:rsidP="00942BE3">
      <w:pPr>
        <w:autoSpaceDE w:val="0"/>
        <w:autoSpaceDN w:val="0"/>
        <w:adjustRightInd w:val="0"/>
        <w:spacing w:after="0" w:line="240" w:lineRule="auto"/>
        <w:jc w:val="both"/>
        <w:rPr>
          <w:rFonts w:ascii="Bookman Old Style" w:eastAsia="Times New Roman" w:hAnsi="Bookman Old Style" w:cs="Arial"/>
          <w:bCs/>
          <w:sz w:val="24"/>
          <w:szCs w:val="24"/>
          <w:lang w:eastAsia="cs-CZ"/>
        </w:rPr>
      </w:pPr>
      <w:r w:rsidRPr="00472CD4">
        <w:rPr>
          <w:rFonts w:ascii="Bookman Old Style" w:eastAsia="Times New Roman" w:hAnsi="Bookman Old Style" w:cs="Arial"/>
          <w:sz w:val="24"/>
          <w:szCs w:val="24"/>
          <w:lang w:eastAsia="cs-CZ"/>
        </w:rPr>
        <w:t xml:space="preserve">Zrušuje se nařízení statutárního města Jablonec nad Nisou č. </w:t>
      </w:r>
      <w:r>
        <w:rPr>
          <w:rFonts w:ascii="Bookman Old Style" w:eastAsia="Times New Roman" w:hAnsi="Bookman Old Style" w:cs="Arial"/>
          <w:sz w:val="24"/>
          <w:szCs w:val="24"/>
          <w:lang w:eastAsia="cs-CZ"/>
        </w:rPr>
        <w:t>4</w:t>
      </w:r>
      <w:r w:rsidRPr="00472CD4">
        <w:rPr>
          <w:rFonts w:ascii="Bookman Old Style" w:eastAsia="Times New Roman" w:hAnsi="Bookman Old Style" w:cs="Arial"/>
          <w:sz w:val="24"/>
          <w:szCs w:val="24"/>
          <w:lang w:eastAsia="cs-CZ"/>
        </w:rPr>
        <w:t>/201</w:t>
      </w:r>
      <w:r>
        <w:rPr>
          <w:rFonts w:ascii="Bookman Old Style" w:eastAsia="Times New Roman" w:hAnsi="Bookman Old Style" w:cs="Arial"/>
          <w:sz w:val="24"/>
          <w:szCs w:val="24"/>
          <w:lang w:eastAsia="cs-CZ"/>
        </w:rPr>
        <w:t>5</w:t>
      </w:r>
      <w:r w:rsidRPr="00472CD4">
        <w:rPr>
          <w:rFonts w:ascii="Bookman Old Style" w:eastAsia="Times New Roman" w:hAnsi="Bookman Old Style" w:cs="Arial"/>
          <w:sz w:val="24"/>
          <w:szCs w:val="24"/>
          <w:lang w:eastAsia="cs-CZ"/>
        </w:rPr>
        <w:t xml:space="preserve"> o určení míst ke stání na místních komunikacích.</w:t>
      </w:r>
    </w:p>
    <w:p w:rsidR="00942BE3" w:rsidRPr="00472CD4" w:rsidRDefault="00942BE3" w:rsidP="00942BE3">
      <w:pPr>
        <w:rPr>
          <w:rFonts w:ascii="Bookman Old Style" w:hAnsi="Bookman Old Style"/>
          <w:sz w:val="24"/>
          <w:szCs w:val="24"/>
        </w:rPr>
      </w:pPr>
    </w:p>
    <w:p w:rsidR="00942BE3" w:rsidRPr="00472CD4" w:rsidRDefault="00942BE3" w:rsidP="00942BE3">
      <w:pPr>
        <w:spacing w:after="0" w:line="240" w:lineRule="auto"/>
        <w:jc w:val="center"/>
        <w:rPr>
          <w:rFonts w:ascii="Bookman Old Style" w:eastAsia="Times New Roman" w:hAnsi="Bookman Old Style" w:cs="Arial"/>
          <w:b/>
          <w:iCs/>
          <w:sz w:val="24"/>
          <w:szCs w:val="24"/>
          <w:lang w:eastAsia="cs-CZ"/>
        </w:rPr>
      </w:pPr>
      <w:r w:rsidRPr="00472CD4">
        <w:rPr>
          <w:rFonts w:ascii="Bookman Old Style" w:eastAsia="Times New Roman" w:hAnsi="Bookman Old Style" w:cs="Arial"/>
          <w:b/>
          <w:iCs/>
          <w:sz w:val="24"/>
          <w:szCs w:val="24"/>
          <w:lang w:eastAsia="cs-CZ"/>
        </w:rPr>
        <w:t>Článek VI</w:t>
      </w:r>
    </w:p>
    <w:p w:rsidR="00942BE3" w:rsidRPr="00472CD4" w:rsidRDefault="00942BE3" w:rsidP="00942BE3">
      <w:pPr>
        <w:spacing w:after="0" w:line="240" w:lineRule="auto"/>
        <w:jc w:val="center"/>
        <w:rPr>
          <w:rFonts w:ascii="Bookman Old Style" w:eastAsia="Times New Roman" w:hAnsi="Bookman Old Style" w:cs="Arial"/>
          <w:b/>
          <w:iCs/>
          <w:sz w:val="24"/>
          <w:szCs w:val="24"/>
          <w:lang w:eastAsia="cs-CZ"/>
        </w:rPr>
      </w:pPr>
      <w:r w:rsidRPr="00472CD4">
        <w:rPr>
          <w:rFonts w:ascii="Bookman Old Style" w:eastAsia="Times New Roman" w:hAnsi="Bookman Old Style" w:cs="Arial"/>
          <w:b/>
          <w:iCs/>
          <w:sz w:val="24"/>
          <w:szCs w:val="24"/>
          <w:lang w:eastAsia="cs-CZ"/>
        </w:rPr>
        <w:t>Účinnost</w:t>
      </w:r>
    </w:p>
    <w:p w:rsidR="00942BE3" w:rsidRPr="00472CD4" w:rsidRDefault="00942BE3" w:rsidP="00942BE3">
      <w:pPr>
        <w:spacing w:after="0" w:line="240" w:lineRule="auto"/>
        <w:jc w:val="both"/>
        <w:rPr>
          <w:rFonts w:ascii="Bookman Old Style" w:eastAsia="Times New Roman" w:hAnsi="Bookman Old Style" w:cs="Arial"/>
          <w:iCs/>
          <w:sz w:val="24"/>
          <w:szCs w:val="24"/>
          <w:lang w:eastAsia="cs-CZ"/>
        </w:rPr>
      </w:pPr>
    </w:p>
    <w:p w:rsidR="00942BE3" w:rsidRPr="00472CD4" w:rsidRDefault="00942BE3" w:rsidP="00942BE3">
      <w:pPr>
        <w:jc w:val="both"/>
        <w:rPr>
          <w:rFonts w:ascii="Bookman Old Style" w:eastAsia="Times New Roman" w:hAnsi="Bookman Old Style" w:cs="Arial"/>
          <w:sz w:val="24"/>
          <w:szCs w:val="24"/>
          <w:lang w:eastAsia="cs-CZ"/>
        </w:rPr>
      </w:pPr>
      <w:r w:rsidRPr="00472CD4">
        <w:rPr>
          <w:rFonts w:ascii="Bookman Old Style" w:eastAsia="Times New Roman" w:hAnsi="Bookman Old Style" w:cs="Arial"/>
          <w:iCs/>
          <w:sz w:val="24"/>
          <w:szCs w:val="24"/>
          <w:lang w:eastAsia="cs-CZ"/>
        </w:rPr>
        <w:t>Toto nařízení nabývá</w:t>
      </w:r>
      <w:r w:rsidRPr="00472CD4">
        <w:rPr>
          <w:rFonts w:ascii="Bookman Old Style" w:hAnsi="Bookman Old Style" w:cs="Verdana"/>
          <w:color w:val="000000"/>
          <w:sz w:val="24"/>
          <w:szCs w:val="24"/>
        </w:rPr>
        <w:t xml:space="preserve"> účinnosti 15. dnem následujícím po dni jeho vyhlášení na úřední desce Magistrátu města Jablonec nad Nisou.</w:t>
      </w:r>
    </w:p>
    <w:p w:rsidR="00942BE3" w:rsidRDefault="00942BE3" w:rsidP="00942BE3">
      <w:pPr>
        <w:jc w:val="both"/>
        <w:rPr>
          <w:rFonts w:ascii="Bookman Old Style" w:eastAsia="Times New Roman" w:hAnsi="Bookman Old Style" w:cs="Arial"/>
          <w:sz w:val="24"/>
          <w:szCs w:val="24"/>
          <w:lang w:eastAsia="cs-CZ"/>
        </w:rPr>
      </w:pPr>
    </w:p>
    <w:p w:rsidR="00942BE3" w:rsidRDefault="00942BE3" w:rsidP="00942BE3">
      <w:pPr>
        <w:jc w:val="both"/>
        <w:rPr>
          <w:rFonts w:ascii="Bookman Old Style" w:eastAsia="Times New Roman" w:hAnsi="Bookman Old Style" w:cs="Arial"/>
          <w:sz w:val="24"/>
          <w:szCs w:val="24"/>
          <w:lang w:eastAsia="cs-CZ"/>
        </w:rPr>
      </w:pPr>
    </w:p>
    <w:p w:rsidR="00942BE3" w:rsidRPr="00472CD4" w:rsidRDefault="00942BE3" w:rsidP="00942BE3">
      <w:pPr>
        <w:tabs>
          <w:tab w:val="center" w:pos="7371"/>
        </w:tabs>
        <w:spacing w:after="0" w:line="240" w:lineRule="auto"/>
        <w:jc w:val="both"/>
        <w:rPr>
          <w:rFonts w:ascii="Bookman Old Style" w:eastAsia="Times New Roman" w:hAnsi="Bookman Old Style" w:cs="Arial"/>
          <w:iCs/>
          <w:sz w:val="24"/>
          <w:szCs w:val="24"/>
          <w:lang w:eastAsia="cs-CZ"/>
        </w:rPr>
      </w:pPr>
    </w:p>
    <w:p w:rsidR="00942BE3" w:rsidRPr="00472CD4" w:rsidRDefault="00942BE3" w:rsidP="00942BE3">
      <w:pPr>
        <w:tabs>
          <w:tab w:val="center" w:pos="7371"/>
        </w:tabs>
        <w:spacing w:after="0" w:line="240" w:lineRule="auto"/>
        <w:jc w:val="right"/>
        <w:rPr>
          <w:rFonts w:ascii="Bookman Old Style" w:eastAsia="Times New Roman" w:hAnsi="Bookman Old Style" w:cs="Arial"/>
          <w:iCs/>
          <w:sz w:val="24"/>
          <w:szCs w:val="24"/>
          <w:lang w:eastAsia="cs-CZ"/>
        </w:rPr>
      </w:pPr>
      <w:r w:rsidRPr="00472CD4">
        <w:rPr>
          <w:rFonts w:ascii="Bookman Old Style" w:eastAsia="Times New Roman" w:hAnsi="Bookman Old Style" w:cs="Arial"/>
          <w:iCs/>
          <w:sz w:val="24"/>
          <w:szCs w:val="24"/>
          <w:lang w:eastAsia="cs-CZ"/>
        </w:rPr>
        <w:t>…………………………………………..…</w:t>
      </w:r>
      <w:r>
        <w:rPr>
          <w:rFonts w:ascii="Bookman Old Style" w:eastAsia="Times New Roman" w:hAnsi="Bookman Old Style" w:cs="Arial"/>
          <w:iCs/>
          <w:sz w:val="24"/>
          <w:szCs w:val="24"/>
          <w:lang w:eastAsia="cs-CZ"/>
        </w:rPr>
        <w:t xml:space="preserve">            </w:t>
      </w:r>
      <w:r w:rsidRPr="00472CD4">
        <w:rPr>
          <w:rFonts w:ascii="Bookman Old Style" w:eastAsia="Times New Roman" w:hAnsi="Bookman Old Style" w:cs="Arial"/>
          <w:iCs/>
          <w:sz w:val="24"/>
          <w:szCs w:val="24"/>
          <w:lang w:eastAsia="cs-CZ"/>
        </w:rPr>
        <w:t>………………………………………..</w:t>
      </w:r>
    </w:p>
    <w:p w:rsidR="00942BE3" w:rsidRPr="00472CD4" w:rsidRDefault="00942BE3" w:rsidP="00942BE3">
      <w:pPr>
        <w:tabs>
          <w:tab w:val="center" w:pos="7371"/>
        </w:tabs>
        <w:spacing w:after="0" w:line="240" w:lineRule="auto"/>
        <w:jc w:val="both"/>
        <w:rPr>
          <w:rFonts w:ascii="Bookman Old Style" w:eastAsia="Times New Roman" w:hAnsi="Bookman Old Style" w:cs="Arial"/>
          <w:iCs/>
          <w:sz w:val="24"/>
          <w:szCs w:val="24"/>
          <w:lang w:eastAsia="cs-CZ"/>
        </w:rPr>
      </w:pPr>
      <w:r>
        <w:rPr>
          <w:rFonts w:ascii="Bookman Old Style" w:eastAsia="Times New Roman" w:hAnsi="Bookman Old Style" w:cs="Arial"/>
          <w:iCs/>
          <w:sz w:val="24"/>
          <w:szCs w:val="24"/>
          <w:lang w:eastAsia="cs-CZ"/>
        </w:rPr>
        <w:t xml:space="preserve">           </w:t>
      </w:r>
      <w:r w:rsidRPr="00472CD4">
        <w:rPr>
          <w:rFonts w:ascii="Bookman Old Style" w:eastAsia="Times New Roman" w:hAnsi="Bookman Old Style" w:cs="Arial"/>
          <w:iCs/>
          <w:sz w:val="24"/>
          <w:szCs w:val="24"/>
          <w:lang w:eastAsia="cs-CZ"/>
        </w:rPr>
        <w:t xml:space="preserve">Ing. </w:t>
      </w:r>
      <w:r>
        <w:rPr>
          <w:rFonts w:ascii="Bookman Old Style" w:eastAsia="Times New Roman" w:hAnsi="Bookman Old Style" w:cs="Arial"/>
          <w:iCs/>
          <w:sz w:val="24"/>
          <w:szCs w:val="24"/>
          <w:lang w:eastAsia="cs-CZ"/>
        </w:rPr>
        <w:t>Petr Beitl                                                   In</w:t>
      </w:r>
      <w:r w:rsidRPr="00472CD4">
        <w:rPr>
          <w:rFonts w:ascii="Bookman Old Style" w:eastAsia="Times New Roman" w:hAnsi="Bookman Old Style" w:cs="Arial"/>
          <w:iCs/>
          <w:sz w:val="24"/>
          <w:szCs w:val="24"/>
          <w:lang w:eastAsia="cs-CZ"/>
        </w:rPr>
        <w:t>g. Miloš Vele</w:t>
      </w:r>
    </w:p>
    <w:p w:rsidR="00942BE3" w:rsidRPr="00472CD4" w:rsidRDefault="00942BE3" w:rsidP="00942BE3">
      <w:pPr>
        <w:tabs>
          <w:tab w:val="center" w:pos="7371"/>
        </w:tabs>
        <w:spacing w:after="0" w:line="240" w:lineRule="auto"/>
        <w:jc w:val="both"/>
        <w:rPr>
          <w:rFonts w:ascii="Bookman Old Style" w:eastAsia="Times New Roman" w:hAnsi="Bookman Old Style" w:cs="Arial"/>
          <w:iCs/>
          <w:sz w:val="24"/>
          <w:szCs w:val="24"/>
          <w:lang w:eastAsia="cs-CZ"/>
        </w:rPr>
      </w:pPr>
      <w:r>
        <w:rPr>
          <w:rFonts w:ascii="Bookman Old Style" w:eastAsia="Times New Roman" w:hAnsi="Bookman Old Style" w:cs="Arial"/>
          <w:iCs/>
          <w:sz w:val="24"/>
          <w:szCs w:val="24"/>
          <w:lang w:eastAsia="cs-CZ"/>
        </w:rPr>
        <w:t xml:space="preserve">          primátor města                                         </w:t>
      </w:r>
      <w:r w:rsidRPr="00472CD4">
        <w:rPr>
          <w:rFonts w:ascii="Bookman Old Style" w:eastAsia="Times New Roman" w:hAnsi="Bookman Old Style" w:cs="Arial"/>
          <w:iCs/>
          <w:sz w:val="24"/>
          <w:szCs w:val="24"/>
          <w:lang w:eastAsia="cs-CZ"/>
        </w:rPr>
        <w:t>náměstek primátora města</w:t>
      </w:r>
    </w:p>
    <w:p w:rsidR="00942BE3" w:rsidRPr="00472CD4" w:rsidRDefault="00942BE3" w:rsidP="00942BE3">
      <w:pPr>
        <w:tabs>
          <w:tab w:val="center" w:pos="7371"/>
        </w:tabs>
        <w:spacing w:after="0" w:line="240" w:lineRule="auto"/>
        <w:jc w:val="both"/>
        <w:rPr>
          <w:rFonts w:ascii="Bookman Old Style" w:eastAsia="Times New Roman" w:hAnsi="Bookman Old Style" w:cs="Arial"/>
          <w:iCs/>
          <w:sz w:val="24"/>
          <w:szCs w:val="24"/>
          <w:lang w:eastAsia="cs-CZ"/>
        </w:rPr>
      </w:pPr>
    </w:p>
    <w:p w:rsidR="00942BE3" w:rsidRDefault="00942BE3" w:rsidP="00942BE3">
      <w:pPr>
        <w:tabs>
          <w:tab w:val="center" w:pos="7371"/>
        </w:tabs>
        <w:spacing w:after="0" w:line="240" w:lineRule="auto"/>
        <w:jc w:val="both"/>
        <w:rPr>
          <w:rFonts w:ascii="Bookman Old Style" w:eastAsia="Times New Roman" w:hAnsi="Bookman Old Style" w:cs="Arial"/>
          <w:iCs/>
          <w:sz w:val="24"/>
          <w:szCs w:val="24"/>
          <w:lang w:eastAsia="cs-CZ"/>
        </w:rPr>
      </w:pPr>
    </w:p>
    <w:p w:rsidR="00942BE3" w:rsidRDefault="00942BE3" w:rsidP="00942BE3">
      <w:pPr>
        <w:tabs>
          <w:tab w:val="center" w:pos="7371"/>
        </w:tabs>
        <w:spacing w:after="0" w:line="240" w:lineRule="auto"/>
        <w:jc w:val="both"/>
        <w:rPr>
          <w:rFonts w:ascii="Bookman Old Style" w:eastAsia="Times New Roman" w:hAnsi="Bookman Old Style" w:cs="Arial"/>
          <w:iCs/>
          <w:sz w:val="24"/>
          <w:szCs w:val="24"/>
          <w:lang w:eastAsia="cs-CZ"/>
        </w:rPr>
      </w:pPr>
    </w:p>
    <w:p w:rsidR="00942BE3" w:rsidRDefault="00942BE3" w:rsidP="00942BE3">
      <w:pPr>
        <w:tabs>
          <w:tab w:val="center" w:pos="7371"/>
        </w:tabs>
        <w:spacing w:after="0" w:line="240" w:lineRule="auto"/>
        <w:jc w:val="both"/>
        <w:rPr>
          <w:rFonts w:ascii="Bookman Old Style" w:eastAsia="Times New Roman" w:hAnsi="Bookman Old Style" w:cs="Arial"/>
          <w:iCs/>
          <w:sz w:val="24"/>
          <w:szCs w:val="24"/>
          <w:lang w:eastAsia="cs-CZ"/>
        </w:rPr>
      </w:pPr>
    </w:p>
    <w:p w:rsidR="00942BE3" w:rsidRPr="00F63190" w:rsidRDefault="00942BE3" w:rsidP="00942BE3">
      <w:pPr>
        <w:tabs>
          <w:tab w:val="center" w:pos="7371"/>
        </w:tabs>
        <w:spacing w:after="0" w:line="240" w:lineRule="auto"/>
        <w:jc w:val="both"/>
        <w:rPr>
          <w:rFonts w:ascii="Bookman Old Style" w:eastAsia="Times New Roman" w:hAnsi="Bookman Old Style" w:cs="Arial"/>
          <w:iCs/>
          <w:sz w:val="20"/>
          <w:szCs w:val="20"/>
          <w:lang w:eastAsia="cs-CZ"/>
        </w:rPr>
      </w:pPr>
      <w:r>
        <w:rPr>
          <w:rFonts w:ascii="Bookman Old Style" w:eastAsia="Times New Roman" w:hAnsi="Bookman Old Style" w:cs="Arial"/>
          <w:iCs/>
          <w:sz w:val="20"/>
          <w:szCs w:val="20"/>
          <w:lang w:eastAsia="cs-CZ"/>
        </w:rPr>
        <w:t xml:space="preserve">Nařízení č. 2/2017 </w:t>
      </w:r>
      <w:r w:rsidRPr="00F63190">
        <w:rPr>
          <w:rFonts w:ascii="Bookman Old Style" w:eastAsia="Times New Roman" w:hAnsi="Bookman Old Style" w:cs="Arial"/>
          <w:iCs/>
          <w:sz w:val="20"/>
          <w:szCs w:val="20"/>
          <w:lang w:eastAsia="cs-CZ"/>
        </w:rPr>
        <w:t xml:space="preserve">bylo vydáno na </w:t>
      </w:r>
      <w:r>
        <w:rPr>
          <w:rFonts w:ascii="Bookman Old Style" w:eastAsia="Times New Roman" w:hAnsi="Bookman Old Style" w:cs="Arial"/>
          <w:iCs/>
          <w:sz w:val="20"/>
          <w:szCs w:val="20"/>
          <w:lang w:eastAsia="cs-CZ"/>
        </w:rPr>
        <w:t xml:space="preserve">36. </w:t>
      </w:r>
      <w:r w:rsidRPr="00F63190">
        <w:rPr>
          <w:rFonts w:ascii="Bookman Old Style" w:eastAsia="Times New Roman" w:hAnsi="Bookman Old Style" w:cs="Arial"/>
          <w:iCs/>
          <w:sz w:val="20"/>
          <w:szCs w:val="20"/>
          <w:lang w:eastAsia="cs-CZ"/>
        </w:rPr>
        <w:t>schůzi RM dne 1</w:t>
      </w:r>
      <w:r>
        <w:rPr>
          <w:rFonts w:ascii="Bookman Old Style" w:eastAsia="Times New Roman" w:hAnsi="Bookman Old Style" w:cs="Arial"/>
          <w:iCs/>
          <w:sz w:val="20"/>
          <w:szCs w:val="20"/>
          <w:lang w:eastAsia="cs-CZ"/>
        </w:rPr>
        <w:t>4</w:t>
      </w:r>
      <w:r w:rsidRPr="00F63190">
        <w:rPr>
          <w:rFonts w:ascii="Bookman Old Style" w:eastAsia="Times New Roman" w:hAnsi="Bookman Old Style" w:cs="Arial"/>
          <w:iCs/>
          <w:sz w:val="20"/>
          <w:szCs w:val="20"/>
          <w:lang w:eastAsia="cs-CZ"/>
        </w:rPr>
        <w:t>. prosince 2017</w:t>
      </w:r>
    </w:p>
    <w:p w:rsidR="00942BE3" w:rsidRPr="00F63190" w:rsidRDefault="00942BE3" w:rsidP="00942BE3">
      <w:pPr>
        <w:tabs>
          <w:tab w:val="center" w:pos="7371"/>
        </w:tabs>
        <w:spacing w:after="0" w:line="240" w:lineRule="auto"/>
        <w:jc w:val="both"/>
        <w:rPr>
          <w:rFonts w:ascii="Bookman Old Style" w:eastAsia="Times New Roman" w:hAnsi="Bookman Old Style" w:cs="Arial"/>
          <w:iCs/>
          <w:sz w:val="20"/>
          <w:szCs w:val="20"/>
          <w:lang w:eastAsia="cs-CZ"/>
        </w:rPr>
      </w:pPr>
      <w:r w:rsidRPr="00F63190">
        <w:rPr>
          <w:rFonts w:ascii="Bookman Old Style" w:eastAsia="Times New Roman" w:hAnsi="Bookman Old Style" w:cs="Arial"/>
          <w:iCs/>
          <w:sz w:val="20"/>
          <w:szCs w:val="20"/>
          <w:lang w:eastAsia="cs-CZ"/>
        </w:rPr>
        <w:t xml:space="preserve">a nabývá účinnosti </w:t>
      </w:r>
      <w:r>
        <w:rPr>
          <w:rFonts w:ascii="Bookman Old Style" w:eastAsia="Times New Roman" w:hAnsi="Bookman Old Style" w:cs="Arial"/>
          <w:b/>
          <w:iCs/>
          <w:sz w:val="20"/>
          <w:szCs w:val="20"/>
          <w:lang w:eastAsia="cs-CZ"/>
        </w:rPr>
        <w:t>30.12.2017</w:t>
      </w:r>
    </w:p>
    <w:p w:rsidR="009138FC" w:rsidRDefault="00942BE3" w:rsidP="00942BE3">
      <w:pPr>
        <w:tabs>
          <w:tab w:val="center" w:pos="7371"/>
        </w:tabs>
        <w:spacing w:after="0" w:line="240" w:lineRule="auto"/>
      </w:pPr>
      <w:r w:rsidRPr="00F63190">
        <w:rPr>
          <w:rFonts w:ascii="Bookman Old Style" w:eastAsia="Times New Roman" w:hAnsi="Bookman Old Style" w:cs="Arial"/>
          <w:iCs/>
          <w:sz w:val="20"/>
          <w:szCs w:val="20"/>
          <w:lang w:eastAsia="cs-CZ"/>
        </w:rPr>
        <w:t xml:space="preserve">vyvěšeno </w:t>
      </w:r>
      <w:r>
        <w:rPr>
          <w:rFonts w:ascii="Bookman Old Style" w:eastAsia="Times New Roman" w:hAnsi="Bookman Old Style" w:cs="Arial"/>
          <w:iCs/>
          <w:sz w:val="20"/>
          <w:szCs w:val="20"/>
          <w:lang w:eastAsia="cs-CZ"/>
        </w:rPr>
        <w:t xml:space="preserve">15.12.2017 – 29.12.2017)  </w:t>
      </w:r>
    </w:p>
    <w:sectPr w:rsidR="009138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2BE3" w:rsidRDefault="00942BE3" w:rsidP="00942BE3">
      <w:pPr>
        <w:spacing w:after="0" w:line="240" w:lineRule="auto"/>
      </w:pPr>
      <w:r>
        <w:separator/>
      </w:r>
    </w:p>
  </w:endnote>
  <w:endnote w:type="continuationSeparator" w:id="0">
    <w:p w:rsidR="00942BE3" w:rsidRDefault="00942BE3" w:rsidP="0094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2BE3" w:rsidRDefault="00942BE3" w:rsidP="00942BE3">
      <w:pPr>
        <w:spacing w:after="0" w:line="240" w:lineRule="auto"/>
      </w:pPr>
      <w:r>
        <w:separator/>
      </w:r>
    </w:p>
  </w:footnote>
  <w:footnote w:type="continuationSeparator" w:id="0">
    <w:p w:rsidR="00942BE3" w:rsidRDefault="00942BE3" w:rsidP="00942BE3">
      <w:pPr>
        <w:spacing w:after="0" w:line="240" w:lineRule="auto"/>
      </w:pPr>
      <w:r>
        <w:continuationSeparator/>
      </w:r>
    </w:p>
  </w:footnote>
  <w:footnote w:id="1">
    <w:p w:rsidR="00942BE3" w:rsidRDefault="00942BE3" w:rsidP="00942BE3">
      <w:pPr>
        <w:pStyle w:val="Textpoznpodarou"/>
      </w:pPr>
      <w:r>
        <w:t>1</w:t>
      </w:r>
      <w:r w:rsidRPr="00AA201E">
        <w:rPr>
          <w:rFonts w:ascii="Arial" w:eastAsia="Calibri" w:hAnsi="Arial" w:cs="Arial"/>
          <w:color w:val="000000"/>
          <w:sz w:val="16"/>
          <w:szCs w:val="16"/>
          <w:lang w:eastAsia="en-US"/>
        </w:rPr>
        <w:t xml:space="preserve"> </w:t>
      </w:r>
      <w:r w:rsidRPr="009D44F1">
        <w:rPr>
          <w:rFonts w:ascii="Arial" w:eastAsia="Calibri" w:hAnsi="Arial" w:cs="Arial"/>
          <w:color w:val="000000"/>
          <w:sz w:val="16"/>
          <w:szCs w:val="16"/>
          <w:lang w:eastAsia="en-US"/>
        </w:rPr>
        <w:t>Zákon č. 526/1990 Sb., o cenách</w:t>
      </w:r>
      <w:r>
        <w:rPr>
          <w:rFonts w:ascii="Arial" w:eastAsia="Calibri" w:hAnsi="Arial" w:cs="Arial"/>
          <w:color w:val="000000"/>
          <w:sz w:val="16"/>
          <w:szCs w:val="16"/>
          <w:lang w:val="cs-CZ" w:eastAsia="en-US"/>
        </w:rPr>
        <w:t>,</w:t>
      </w:r>
      <w:r w:rsidRPr="009D44F1">
        <w:rPr>
          <w:rFonts w:ascii="Arial" w:eastAsia="Calibri" w:hAnsi="Arial" w:cs="Arial"/>
          <w:color w:val="000000"/>
          <w:sz w:val="16"/>
          <w:szCs w:val="16"/>
          <w:lang w:eastAsia="en-US"/>
        </w:rPr>
        <w:t xml:space="preserve"> ve znění pozdějších předpisů</w:t>
      </w:r>
    </w:p>
  </w:footnote>
  <w:footnote w:id="2">
    <w:p w:rsidR="00942BE3" w:rsidRDefault="00942BE3" w:rsidP="00942BE3">
      <w:pPr>
        <w:pStyle w:val="Default"/>
        <w:rPr>
          <w:rFonts w:ascii="Arial" w:hAnsi="Arial" w:cs="Arial"/>
          <w:sz w:val="16"/>
          <w:szCs w:val="16"/>
        </w:rPr>
      </w:pPr>
      <w:r w:rsidRPr="00782867">
        <w:rPr>
          <w:rStyle w:val="Znakapoznpodarou"/>
          <w:rFonts w:ascii="Arial" w:hAnsi="Arial" w:cs="Arial"/>
          <w:sz w:val="18"/>
          <w:szCs w:val="18"/>
        </w:rPr>
        <w:t>3</w:t>
      </w:r>
      <w:r>
        <w:rPr>
          <w:rFonts w:ascii="Arial" w:hAnsi="Arial" w:cs="Arial"/>
          <w:sz w:val="18"/>
          <w:szCs w:val="18"/>
        </w:rPr>
        <w:t xml:space="preserve"> </w:t>
      </w:r>
      <w:r w:rsidRPr="00782867">
        <w:rPr>
          <w:rFonts w:ascii="Arial" w:hAnsi="Arial" w:cs="Arial"/>
          <w:sz w:val="16"/>
          <w:szCs w:val="16"/>
        </w:rPr>
        <w:t xml:space="preserve">Zákon č. 200/1990 Sb., o přestupcích, ve znění pozdějších předpisů. </w:t>
      </w:r>
    </w:p>
    <w:p w:rsidR="00942BE3" w:rsidRPr="00782867" w:rsidRDefault="00942BE3" w:rsidP="00942BE3">
      <w:pPr>
        <w:pStyle w:val="Default"/>
        <w:rPr>
          <w:rFonts w:ascii="Arial" w:hAnsi="Arial" w:cs="Arial"/>
          <w:sz w:val="16"/>
          <w:szCs w:val="16"/>
        </w:rPr>
      </w:pPr>
      <w:r>
        <w:rPr>
          <w:rFonts w:ascii="Arial" w:hAnsi="Arial" w:cs="Arial"/>
          <w:sz w:val="16"/>
          <w:szCs w:val="16"/>
        </w:rPr>
        <w:t xml:space="preserve">  </w:t>
      </w:r>
      <w:r w:rsidRPr="00782867">
        <w:rPr>
          <w:rFonts w:ascii="Arial" w:hAnsi="Arial" w:cs="Arial"/>
          <w:sz w:val="16"/>
          <w:szCs w:val="16"/>
        </w:rPr>
        <w:t>Zákon č. 361/2000 Sb., o provozu na pozemních komunikacích a o změnách některých zákonů, ve znění pozdějších předpisů.</w:t>
      </w:r>
    </w:p>
    <w:p w:rsidR="00942BE3" w:rsidRDefault="00942BE3" w:rsidP="00942BE3">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E3"/>
    <w:rsid w:val="009138FC"/>
    <w:rsid w:val="00942BE3"/>
    <w:rsid w:val="00DF1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1BC2"/>
  <w15:chartTrackingRefBased/>
  <w15:docId w15:val="{37EF8207-341E-4A4E-96DB-D3D39FEC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BE3"/>
    <w:pPr>
      <w:spacing w:after="200" w:line="276" w:lineRule="auto"/>
    </w:pPr>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rsid w:val="00942BE3"/>
    <w:rPr>
      <w:vertAlign w:val="superscript"/>
    </w:rPr>
  </w:style>
  <w:style w:type="paragraph" w:styleId="Textpoznpodarou">
    <w:name w:val="footnote text"/>
    <w:basedOn w:val="Normln"/>
    <w:link w:val="TextpoznpodarouChar"/>
    <w:semiHidden/>
    <w:rsid w:val="00942BE3"/>
    <w:pPr>
      <w:spacing w:after="0" w:line="240" w:lineRule="auto"/>
    </w:pPr>
    <w:rPr>
      <w:rFonts w:ascii="Tahoma" w:eastAsia="Times New Roman" w:hAnsi="Tahoma"/>
      <w:sz w:val="20"/>
      <w:szCs w:val="20"/>
      <w:lang w:val="x-none" w:eastAsia="x-none"/>
    </w:rPr>
  </w:style>
  <w:style w:type="character" w:customStyle="1" w:styleId="TextpoznpodarouChar">
    <w:name w:val="Text pozn. pod čarou Char"/>
    <w:basedOn w:val="Standardnpsmoodstavce"/>
    <w:link w:val="Textpoznpodarou"/>
    <w:semiHidden/>
    <w:rsid w:val="00942BE3"/>
    <w:rPr>
      <w:rFonts w:ascii="Tahoma" w:eastAsia="Times New Roman" w:hAnsi="Tahoma" w:cs="Times New Roman"/>
      <w:kern w:val="0"/>
      <w:sz w:val="20"/>
      <w:szCs w:val="20"/>
      <w:lang w:val="x-none" w:eastAsia="x-none"/>
      <w14:ligatures w14:val="none"/>
    </w:rPr>
  </w:style>
  <w:style w:type="paragraph" w:styleId="Odstavecseseznamem">
    <w:name w:val="List Paragraph"/>
    <w:basedOn w:val="Normln"/>
    <w:uiPriority w:val="34"/>
    <w:qFormat/>
    <w:rsid w:val="00942BE3"/>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942BE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2943</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Lucie</dc:creator>
  <cp:keywords/>
  <dc:description/>
  <cp:lastModifiedBy>Malá, Lucie</cp:lastModifiedBy>
  <cp:revision>1</cp:revision>
  <dcterms:created xsi:type="dcterms:W3CDTF">2024-08-30T08:26:00Z</dcterms:created>
  <dcterms:modified xsi:type="dcterms:W3CDTF">2024-08-30T08:27:00Z</dcterms:modified>
</cp:coreProperties>
</file>